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68519702" w:rsidR="004E7CEA" w:rsidRDefault="004E7CEA" w:rsidP="004E7CEA">
      <w:pPr>
        <w:jc w:val="center"/>
      </w:pPr>
    </w:p>
    <w:p w14:paraId="2FE063FE" w14:textId="77777777" w:rsidR="004E7CEA" w:rsidRPr="00627CF9" w:rsidRDefault="004E7CEA" w:rsidP="004E7CEA">
      <w:pPr>
        <w:jc w:val="center"/>
        <w:rPr>
          <w:rFonts w:ascii="ESMF" w:hAnsi="ESMF"/>
        </w:rPr>
      </w:pPr>
    </w:p>
    <w:p w14:paraId="4E68E23C" w14:textId="4DCA6355" w:rsidR="004E7CEA" w:rsidRPr="00FA0A88" w:rsidRDefault="004E7CEA" w:rsidP="004E7CEA">
      <w:pPr>
        <w:jc w:val="center"/>
        <w:rPr>
          <w:rFonts w:ascii="Corbel" w:hAnsi="Corbel"/>
          <w:b/>
          <w:color w:val="70AD47" w:themeColor="accent6"/>
        </w:rP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6677FC35" w14:textId="215D94BC" w:rsidR="004E7CEA" w:rsidRPr="00180640" w:rsidRDefault="00164843" w:rsidP="004E7CEA">
      <w:pPr>
        <w:jc w:val="center"/>
        <w:rPr>
          <w:rFonts w:ascii="Corbel" w:hAnsi="Corbel"/>
          <w:b/>
          <w:sz w:val="48"/>
        </w:rPr>
      </w:pPr>
      <w:r>
        <w:rPr>
          <w:rFonts w:ascii="Corbel" w:hAnsi="Corbel"/>
          <w:b/>
          <w:sz w:val="48"/>
        </w:rPr>
        <w:t>SERBIA</w:t>
      </w:r>
    </w:p>
    <w:p w14:paraId="6564148D" w14:textId="4F8E43DC" w:rsidR="000158A5" w:rsidRDefault="003E0044" w:rsidP="000158A5">
      <w:pPr>
        <w:pStyle w:val="Title"/>
        <w:pBdr>
          <w:bottom w:val="dashSmallGap" w:sz="4" w:space="15" w:color="BFBFBF"/>
        </w:pBdr>
        <w:tabs>
          <w:tab w:val="left" w:pos="4820"/>
        </w:tabs>
        <w:ind w:left="864" w:right="864"/>
        <w:rPr>
          <w:rFonts w:ascii="Corbel" w:eastAsiaTheme="minorHAnsi" w:hAnsi="Corbel" w:cstheme="minorBidi"/>
          <w:color w:val="auto"/>
          <w:sz w:val="48"/>
          <w:szCs w:val="22"/>
          <w:lang w:val="en-US" w:eastAsia="en-US"/>
        </w:rPr>
      </w:pPr>
      <w:r>
        <w:rPr>
          <w:rFonts w:ascii="Corbel" w:eastAsiaTheme="minorHAnsi" w:hAnsi="Corbel" w:cstheme="minorBidi"/>
          <w:color w:val="auto"/>
          <w:sz w:val="48"/>
          <w:szCs w:val="22"/>
          <w:lang w:val="en-US" w:eastAsia="en-US"/>
        </w:rPr>
        <w:t xml:space="preserve">COMPETITIVE AGRICULTURE </w:t>
      </w:r>
      <w:r w:rsidR="00A12C8E">
        <w:rPr>
          <w:rFonts w:ascii="Corbel" w:eastAsiaTheme="minorHAnsi" w:hAnsi="Corbel" w:cstheme="minorBidi"/>
          <w:color w:val="auto"/>
          <w:sz w:val="48"/>
          <w:szCs w:val="22"/>
          <w:lang w:val="en-US" w:eastAsia="en-US"/>
        </w:rPr>
        <w:t>PROJECT</w:t>
      </w:r>
      <w:r w:rsidR="000158A5" w:rsidRPr="000158A5">
        <w:rPr>
          <w:rFonts w:ascii="Corbel" w:eastAsiaTheme="minorHAnsi" w:hAnsi="Corbel" w:cstheme="minorBidi"/>
          <w:color w:val="auto"/>
          <w:sz w:val="48"/>
          <w:szCs w:val="22"/>
          <w:lang w:val="en-US" w:eastAsia="en-US"/>
        </w:rPr>
        <w:t xml:space="preserve"> </w:t>
      </w:r>
      <w:r w:rsidR="000158A5">
        <w:rPr>
          <w:rFonts w:ascii="Corbel" w:eastAsiaTheme="minorHAnsi" w:hAnsi="Corbel" w:cstheme="minorBidi"/>
          <w:color w:val="auto"/>
          <w:sz w:val="48"/>
          <w:szCs w:val="22"/>
          <w:lang w:val="en-US" w:eastAsia="en-US"/>
        </w:rPr>
        <w:t>(P16</w:t>
      </w:r>
      <w:r w:rsidR="008B33D3">
        <w:rPr>
          <w:rFonts w:ascii="Corbel" w:eastAsiaTheme="minorHAnsi" w:hAnsi="Corbel" w:cstheme="minorBidi"/>
          <w:color w:val="auto"/>
          <w:sz w:val="48"/>
          <w:szCs w:val="22"/>
          <w:lang w:val="en-US" w:eastAsia="en-US"/>
        </w:rPr>
        <w:t>7634</w:t>
      </w:r>
      <w:r w:rsidR="000158A5">
        <w:rPr>
          <w:rFonts w:ascii="Corbel" w:eastAsiaTheme="minorHAnsi" w:hAnsi="Corbel" w:cstheme="minorBidi"/>
          <w:color w:val="auto"/>
          <w:sz w:val="48"/>
          <w:szCs w:val="22"/>
          <w:lang w:val="en-US" w:eastAsia="en-US"/>
        </w:rPr>
        <w:t>)</w:t>
      </w:r>
    </w:p>
    <w:p w14:paraId="16799474" w14:textId="77777777" w:rsidR="004E7CEA" w:rsidRPr="004E7CEA" w:rsidRDefault="004E7CEA" w:rsidP="004E7CEA">
      <w:pPr>
        <w:jc w:val="center"/>
        <w:rPr>
          <w:rFonts w:ascii="Corbel" w:hAnsi="Corbel"/>
          <w:b/>
          <w:sz w:val="48"/>
        </w:rPr>
      </w:pP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19C448C3" w:rsidR="0075364D" w:rsidRPr="00561847" w:rsidRDefault="00F72865" w:rsidP="004E7CEA">
      <w:pPr>
        <w:jc w:val="center"/>
        <w:rPr>
          <w:rFonts w:ascii="Corbel" w:hAnsi="Corbel"/>
          <w:b/>
          <w:sz w:val="48"/>
        </w:rPr>
      </w:pPr>
      <w:r>
        <w:rPr>
          <w:rFonts w:ascii="Corbel" w:hAnsi="Corbel"/>
          <w:b/>
          <w:sz w:val="48"/>
        </w:rPr>
        <w:t>November</w:t>
      </w:r>
      <w:r w:rsidR="007A690B">
        <w:rPr>
          <w:rFonts w:ascii="Corbel" w:hAnsi="Corbel"/>
          <w:b/>
          <w:sz w:val="48"/>
        </w:rPr>
        <w:t xml:space="preserve"> 2019</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07E1127D" w:rsidR="004E7CEA" w:rsidRPr="001F5C08" w:rsidRDefault="00477556" w:rsidP="00F8178A">
      <w:pPr>
        <w:pStyle w:val="ListParagraph"/>
        <w:numPr>
          <w:ilvl w:val="0"/>
          <w:numId w:val="16"/>
        </w:numPr>
        <w:rPr>
          <w:rFonts w:ascii="Calibri" w:hAnsi="Calibri"/>
        </w:rPr>
      </w:pPr>
      <w:r>
        <w:rPr>
          <w:rFonts w:ascii="Calibri" w:hAnsi="Calibri"/>
        </w:rPr>
        <w:t xml:space="preserve">The Government of </w:t>
      </w:r>
      <w:r w:rsidR="004A6731">
        <w:rPr>
          <w:rFonts w:ascii="Calibri" w:hAnsi="Calibri"/>
        </w:rPr>
        <w:t>Serbia</w:t>
      </w:r>
      <w:r w:rsidR="009E130F" w:rsidRPr="001F5C08">
        <w:rPr>
          <w:rFonts w:ascii="Calibri" w:hAnsi="Calibri"/>
        </w:rPr>
        <w:t xml:space="preserve"> </w:t>
      </w:r>
      <w:r w:rsidR="007A706C" w:rsidRPr="001F5C08">
        <w:rPr>
          <w:rFonts w:ascii="Calibri" w:hAnsi="Calibri"/>
        </w:rPr>
        <w:t>will</w:t>
      </w:r>
      <w:r w:rsidR="004E7CEA" w:rsidRPr="001F5C08">
        <w:rPr>
          <w:rFonts w:ascii="Calibri" w:hAnsi="Calibri"/>
        </w:rPr>
        <w:t xml:space="preserve"> </w:t>
      </w:r>
      <w:r w:rsidR="00B80C04" w:rsidRPr="001F5C08">
        <w:rPr>
          <w:rFonts w:ascii="Calibri" w:hAnsi="Calibri"/>
        </w:rPr>
        <w:t xml:space="preserve">implement </w:t>
      </w:r>
      <w:r w:rsidR="008F1333" w:rsidRPr="001F5C08">
        <w:rPr>
          <w:rFonts w:ascii="Calibri" w:hAnsi="Calibri"/>
        </w:rPr>
        <w:t xml:space="preserve">the </w:t>
      </w:r>
      <w:r w:rsidR="00263553">
        <w:rPr>
          <w:rFonts w:ascii="Calibri" w:hAnsi="Calibri"/>
        </w:rPr>
        <w:t xml:space="preserve">Competitive Agriculture </w:t>
      </w:r>
      <w:r w:rsidR="009E130F" w:rsidRPr="001F5C08">
        <w:rPr>
          <w:rFonts w:ascii="Calibri" w:hAnsi="Calibri"/>
        </w:rPr>
        <w:t>Project</w:t>
      </w:r>
      <w:r w:rsidR="004E7CEA" w:rsidRPr="001F5C08">
        <w:rPr>
          <w:rFonts w:ascii="Calibri" w:hAnsi="Calibri"/>
        </w:rPr>
        <w:t xml:space="preserve"> (the </w:t>
      </w:r>
      <w:r w:rsidR="004E7CEA" w:rsidRPr="001F5C08">
        <w:rPr>
          <w:rFonts w:ascii="Calibri" w:hAnsi="Calibri"/>
          <w:b/>
        </w:rPr>
        <w:t>Project</w:t>
      </w:r>
      <w:r w:rsidR="00D75D0E" w:rsidRPr="001F5C08">
        <w:rPr>
          <w:rFonts w:ascii="Calibri" w:hAnsi="Calibri"/>
        </w:rPr>
        <w:t>)</w:t>
      </w:r>
      <w:r w:rsidR="004E7CEA" w:rsidRPr="001F5C08">
        <w:rPr>
          <w:rFonts w:ascii="Calibri" w:hAnsi="Calibri"/>
        </w:rPr>
        <w:t xml:space="preserve">, with the involvement of the following </w:t>
      </w:r>
      <w:r w:rsidR="00B80C04" w:rsidRPr="001F5C08">
        <w:rPr>
          <w:rFonts w:ascii="Calibri" w:hAnsi="Calibri"/>
        </w:rPr>
        <w:t>Ministries</w:t>
      </w:r>
      <w:r w:rsidR="00D75D0E" w:rsidRPr="001F5C08">
        <w:rPr>
          <w:rFonts w:ascii="Calibri" w:hAnsi="Calibri"/>
        </w:rPr>
        <w:t>:</w:t>
      </w:r>
      <w:r w:rsidR="00A57AD2" w:rsidRPr="001F5C08">
        <w:rPr>
          <w:rFonts w:ascii="Calibri" w:hAnsi="Calibri"/>
        </w:rPr>
        <w:t xml:space="preserve"> </w:t>
      </w:r>
      <w:r w:rsidR="00FB3165" w:rsidRPr="001C6FB1">
        <w:rPr>
          <w:rFonts w:cstheme="minorHAnsi"/>
        </w:rPr>
        <w:t xml:space="preserve">Ministry of Agriculture Forestry and Water </w:t>
      </w:r>
      <w:proofErr w:type="gramStart"/>
      <w:r w:rsidR="00FB3165" w:rsidRPr="001C6FB1">
        <w:rPr>
          <w:rFonts w:cstheme="minorHAnsi"/>
        </w:rPr>
        <w:t>Management</w:t>
      </w:r>
      <w:r w:rsidR="00FB3165" w:rsidRPr="001F5C08">
        <w:rPr>
          <w:rFonts w:ascii="Calibri" w:hAnsi="Calibri"/>
        </w:rPr>
        <w:t xml:space="preserve"> </w:t>
      </w:r>
      <w:r w:rsidR="00FB3165">
        <w:rPr>
          <w:rFonts w:ascii="Calibri" w:hAnsi="Calibri"/>
        </w:rPr>
        <w:t xml:space="preserve"> and</w:t>
      </w:r>
      <w:proofErr w:type="gramEnd"/>
      <w:r w:rsidR="00FB3165">
        <w:rPr>
          <w:rFonts w:ascii="Calibri" w:hAnsi="Calibri"/>
        </w:rPr>
        <w:t xml:space="preserve"> Ministry of Finance. </w:t>
      </w:r>
      <w:r w:rsidR="00975431" w:rsidRPr="001F5C08">
        <w:rPr>
          <w:rFonts w:ascii="Calibri" w:hAnsi="Calibri"/>
        </w:rPr>
        <w:t>The International Bank for Reconstruction and Development</w:t>
      </w:r>
      <w:r w:rsidR="00DF776C" w:rsidRPr="001F5C08">
        <w:rPr>
          <w:rFonts w:ascii="Calibri" w:hAnsi="Calibri"/>
        </w:rPr>
        <w:t xml:space="preserve"> </w:t>
      </w:r>
      <w:r w:rsidR="00042B32" w:rsidRPr="001F5C08">
        <w:rPr>
          <w:rFonts w:ascii="Calibri" w:hAnsi="Calibri"/>
        </w:rPr>
        <w:t>(</w:t>
      </w:r>
      <w:r w:rsidR="00DF776C" w:rsidRPr="001F5C08">
        <w:rPr>
          <w:rFonts w:ascii="Calibri" w:hAnsi="Calibri"/>
        </w:rPr>
        <w:t xml:space="preserve">hereinafter the </w:t>
      </w:r>
      <w:r w:rsidR="0078416F" w:rsidRPr="001F5C08">
        <w:rPr>
          <w:rFonts w:ascii="Calibri" w:hAnsi="Calibri"/>
        </w:rPr>
        <w:t>Bank</w:t>
      </w:r>
      <w:r w:rsidR="007A706C" w:rsidRPr="001F5C08">
        <w:rPr>
          <w:rFonts w:ascii="Calibri" w:hAnsi="Calibri"/>
        </w:rPr>
        <w:t>)</w:t>
      </w:r>
      <w:r w:rsidR="00B80C04" w:rsidRPr="001F5C08">
        <w:rPr>
          <w:rFonts w:ascii="Calibri" w:hAnsi="Calibri"/>
        </w:rPr>
        <w:t xml:space="preserve"> has agreed to provide</w:t>
      </w:r>
      <w:r w:rsidR="007A706C" w:rsidRPr="001F5C08">
        <w:rPr>
          <w:rFonts w:ascii="Calibri" w:hAnsi="Calibri"/>
        </w:rPr>
        <w:t xml:space="preserve"> </w:t>
      </w:r>
      <w:r w:rsidR="00C16825" w:rsidRPr="001F5C08">
        <w:rPr>
          <w:rFonts w:ascii="Calibri" w:hAnsi="Calibri"/>
        </w:rPr>
        <w:t>financing</w:t>
      </w:r>
      <w:r w:rsidR="00E006D9" w:rsidRPr="001F5C08">
        <w:rPr>
          <w:rFonts w:ascii="Calibri" w:hAnsi="Calibri"/>
        </w:rPr>
        <w:t xml:space="preserve"> </w:t>
      </w:r>
      <w:r w:rsidR="00B80C04" w:rsidRPr="001F5C08">
        <w:rPr>
          <w:rFonts w:ascii="Calibri" w:hAnsi="Calibri"/>
        </w:rPr>
        <w:t xml:space="preserve">for the Project. </w:t>
      </w:r>
    </w:p>
    <w:p w14:paraId="7A9880AA" w14:textId="226D0D22" w:rsidR="00477556" w:rsidRPr="00543E5E" w:rsidRDefault="00477556" w:rsidP="00D30C4D">
      <w:pPr>
        <w:pStyle w:val="ListParagraph"/>
        <w:numPr>
          <w:ilvl w:val="0"/>
          <w:numId w:val="16"/>
        </w:numPr>
        <w:rPr>
          <w:rFonts w:ascii="Calibri" w:hAnsi="Calibri"/>
        </w:rPr>
      </w:pPr>
      <w:r>
        <w:rPr>
          <w:rFonts w:ascii="Calibri" w:hAnsi="Calibri"/>
        </w:rPr>
        <w:t xml:space="preserve">The Government of </w:t>
      </w:r>
      <w:r w:rsidR="00FB3165">
        <w:rPr>
          <w:rFonts w:ascii="Calibri" w:hAnsi="Calibri"/>
        </w:rPr>
        <w:t>Serbia</w:t>
      </w:r>
      <w:r w:rsidR="00042B32" w:rsidRPr="001F5C08">
        <w:rPr>
          <w:rFonts w:ascii="Calibri" w:hAnsi="Calibri"/>
        </w:rPr>
        <w:t xml:space="preserve"> </w:t>
      </w:r>
      <w:r w:rsidR="004E7CEA" w:rsidRPr="001F5C08">
        <w:rPr>
          <w:rFonts w:ascii="Calibri" w:hAnsi="Calibri"/>
        </w:rPr>
        <w:t>will implement</w:t>
      </w:r>
      <w:r w:rsidR="00B80C04" w:rsidRPr="001F5C08">
        <w:rPr>
          <w:rFonts w:ascii="Calibri" w:hAnsi="Calibri"/>
        </w:rPr>
        <w:t xml:space="preserve"> </w:t>
      </w:r>
      <w:r w:rsidR="00180640" w:rsidRPr="001F5C08">
        <w:rPr>
          <w:rFonts w:ascii="Calibri" w:hAnsi="Calibri"/>
        </w:rPr>
        <w:t xml:space="preserve">material </w:t>
      </w:r>
      <w:r w:rsidR="00B80C04" w:rsidRPr="001F5C08">
        <w:rPr>
          <w:rFonts w:ascii="Calibri" w:hAnsi="Calibri"/>
        </w:rPr>
        <w:t xml:space="preserve">measures and actions so </w:t>
      </w:r>
      <w:r w:rsidR="004E7CEA" w:rsidRPr="001F5C08">
        <w:rPr>
          <w:rFonts w:ascii="Calibri" w:hAnsi="Calibri"/>
        </w:rPr>
        <w:t xml:space="preserve">that the Project is </w:t>
      </w:r>
      <w:r w:rsidR="00B80C04" w:rsidRPr="001F5C08">
        <w:rPr>
          <w:rFonts w:ascii="Calibri" w:hAnsi="Calibri"/>
        </w:rPr>
        <w:t xml:space="preserve">implemented in accordance with the </w:t>
      </w:r>
      <w:r w:rsidR="004E7CEA" w:rsidRPr="001F5C08">
        <w:rPr>
          <w:rFonts w:ascii="Calibri" w:hAnsi="Calibri"/>
        </w:rPr>
        <w:t xml:space="preserve">Environmental and Social </w:t>
      </w:r>
      <w:r w:rsidR="00B80C04" w:rsidRPr="001F5C08">
        <w:rPr>
          <w:rFonts w:ascii="Calibri" w:hAnsi="Calibri"/>
        </w:rPr>
        <w:t xml:space="preserve">Standards </w:t>
      </w:r>
      <w:r w:rsidR="004E7CEA" w:rsidRPr="001F5C08">
        <w:rPr>
          <w:rFonts w:ascii="Calibri" w:hAnsi="Calibri"/>
        </w:rPr>
        <w:t>(</w:t>
      </w:r>
      <w:r w:rsidR="004E7CEA" w:rsidRPr="001F5C08">
        <w:rPr>
          <w:rFonts w:ascii="Calibri" w:hAnsi="Calibri"/>
          <w:b/>
        </w:rPr>
        <w:t>ESSs</w:t>
      </w:r>
      <w:r w:rsidR="004E7CEA" w:rsidRPr="001F5C08">
        <w:rPr>
          <w:rFonts w:ascii="Calibri" w:hAnsi="Calibri"/>
        </w:rPr>
        <w:t>). This Environmental and Social Commitment Plan (</w:t>
      </w:r>
      <w:r w:rsidR="004E7CEA" w:rsidRPr="001F5C08">
        <w:rPr>
          <w:rFonts w:ascii="Calibri" w:hAnsi="Calibri"/>
          <w:b/>
        </w:rPr>
        <w:t>ESCP</w:t>
      </w:r>
      <w:r w:rsidR="004E7CEA" w:rsidRPr="001F5C08">
        <w:rPr>
          <w:rFonts w:ascii="Calibri" w:hAnsi="Calibri"/>
        </w:rPr>
        <w:t>) sets out</w:t>
      </w:r>
      <w:r w:rsidR="009925CC" w:rsidRPr="001F5C08">
        <w:rPr>
          <w:rFonts w:ascii="Calibri" w:hAnsi="Calibri"/>
        </w:rPr>
        <w:t xml:space="preserve"> </w:t>
      </w:r>
      <w:r w:rsidR="00423785" w:rsidRPr="001F5C08">
        <w:rPr>
          <w:rFonts w:ascii="Calibri" w:hAnsi="Calibri"/>
        </w:rPr>
        <w:t xml:space="preserve">material </w:t>
      </w:r>
      <w:r w:rsidR="004E7CEA" w:rsidRPr="001F5C08">
        <w:rPr>
          <w:rFonts w:ascii="Calibri" w:hAnsi="Calibri"/>
        </w:rPr>
        <w:t>measures and actions</w:t>
      </w:r>
      <w:r w:rsidR="00492173" w:rsidRPr="001F5C08">
        <w:rPr>
          <w:rFonts w:ascii="Calibri" w:hAnsi="Calibri"/>
        </w:rPr>
        <w:t>, any</w:t>
      </w:r>
      <w:r w:rsidR="009925CC" w:rsidRPr="001F5C08">
        <w:t xml:space="preserve"> </w:t>
      </w:r>
      <w:r w:rsidR="00E10596" w:rsidRPr="001F5C08">
        <w:t xml:space="preserve">specific documents or </w:t>
      </w:r>
      <w:r w:rsidR="00492173" w:rsidRPr="001F5C08">
        <w:rPr>
          <w:rFonts w:ascii="Calibri" w:hAnsi="Calibri"/>
        </w:rPr>
        <w:t xml:space="preserve">plans, </w:t>
      </w:r>
      <w:r w:rsidR="009925CC" w:rsidRPr="001F5C08">
        <w:rPr>
          <w:rFonts w:ascii="Calibri" w:hAnsi="Calibri"/>
        </w:rPr>
        <w:t>as well as the timing</w:t>
      </w:r>
      <w:r w:rsidR="00492173" w:rsidRPr="001F5C08">
        <w:rPr>
          <w:rFonts w:ascii="Calibri" w:hAnsi="Calibri"/>
        </w:rPr>
        <w:t xml:space="preserve"> for each of these</w:t>
      </w:r>
      <w:r w:rsidR="009925CC" w:rsidRPr="001F5C08">
        <w:rPr>
          <w:rFonts w:ascii="Calibri" w:hAnsi="Calibri"/>
        </w:rPr>
        <w:t xml:space="preserve">. </w:t>
      </w:r>
    </w:p>
    <w:p w14:paraId="32A032E1" w14:textId="2BBA156E" w:rsidR="00D30C4D" w:rsidRPr="00D30C4D" w:rsidRDefault="00D30C4D" w:rsidP="00D30C4D">
      <w:pPr>
        <w:pStyle w:val="ListParagraph"/>
        <w:numPr>
          <w:ilvl w:val="0"/>
          <w:numId w:val="16"/>
        </w:numPr>
        <w:rPr>
          <w:rStyle w:val="CommentReference"/>
          <w:rFonts w:ascii="Calibri" w:hAnsi="Calibri"/>
          <w:sz w:val="22"/>
          <w:szCs w:val="22"/>
        </w:rPr>
      </w:pPr>
      <w:r>
        <w:rPr>
          <w:rFonts w:ascii="Calibri" w:hAnsi="Calibri"/>
        </w:rPr>
        <w:t xml:space="preserve">The Government of </w:t>
      </w:r>
      <w:r w:rsidR="00D356B6">
        <w:rPr>
          <w:rFonts w:ascii="Calibri" w:hAnsi="Calibri"/>
        </w:rPr>
        <w:t>Serbia</w:t>
      </w:r>
      <w:r w:rsidR="00B927CF" w:rsidRPr="001F5C08">
        <w:rPr>
          <w:rFonts w:ascii="Calibri" w:hAnsi="Calibri"/>
        </w:rPr>
        <w:t xml:space="preserve"> will also comply with the provisions of any other E&amp;S documents required </w:t>
      </w:r>
      <w:r w:rsidR="00594521" w:rsidRPr="001F5C08">
        <w:rPr>
          <w:rFonts w:ascii="Calibri" w:hAnsi="Calibri"/>
        </w:rPr>
        <w:t xml:space="preserve">under </w:t>
      </w:r>
      <w:r w:rsidR="00B927CF" w:rsidRPr="001F5C08">
        <w:rPr>
          <w:rFonts w:ascii="Calibri" w:hAnsi="Calibri"/>
        </w:rPr>
        <w:t>the ESF and referred to in this ESCP, such as Environmental and Social Management Plans (ESMP), Resettlement Action Plans (RAP), Indigenous Peoples Plans (IPPs), and Stakeholder Engagement Plans (SEP)</w:t>
      </w:r>
      <w:r w:rsidR="00A508CC" w:rsidRPr="001F5C08">
        <w:rPr>
          <w:rFonts w:ascii="Calibri" w:hAnsi="Calibri"/>
        </w:rPr>
        <w:t xml:space="preserve">, and </w:t>
      </w:r>
      <w:r w:rsidR="00B45926" w:rsidRPr="001F5C08">
        <w:rPr>
          <w:rFonts w:ascii="Calibri" w:hAnsi="Calibri"/>
        </w:rPr>
        <w:t>the</w:t>
      </w:r>
      <w:r w:rsidR="00A508CC" w:rsidRPr="001F5C08">
        <w:rPr>
          <w:rFonts w:ascii="Calibri" w:hAnsi="Calibri"/>
        </w:rPr>
        <w:t xml:space="preserve"> timelines</w:t>
      </w:r>
      <w:r w:rsidR="00791A34" w:rsidRPr="001F5C08">
        <w:rPr>
          <w:rFonts w:ascii="Calibri" w:hAnsi="Calibri"/>
        </w:rPr>
        <w:t xml:space="preserve"> specified in those </w:t>
      </w:r>
      <w:r w:rsidR="00C201B0" w:rsidRPr="001F5C08">
        <w:rPr>
          <w:rFonts w:ascii="Calibri" w:hAnsi="Calibri"/>
        </w:rPr>
        <w:t xml:space="preserve">E&amp;S </w:t>
      </w:r>
      <w:r w:rsidR="00791A34" w:rsidRPr="001F5C08">
        <w:rPr>
          <w:rFonts w:ascii="Calibri" w:hAnsi="Calibri"/>
        </w:rPr>
        <w:t>documents</w:t>
      </w:r>
      <w:r w:rsidR="00B927CF" w:rsidRPr="001F5C08">
        <w:rPr>
          <w:rFonts w:ascii="Calibri" w:hAnsi="Calibri"/>
        </w:rPr>
        <w:t>.</w:t>
      </w:r>
    </w:p>
    <w:p w14:paraId="0538B76D" w14:textId="0205211E" w:rsidR="004E7CEA" w:rsidRPr="001F5C08" w:rsidRDefault="00D30C4D" w:rsidP="009772D5">
      <w:pPr>
        <w:pStyle w:val="ListParagraph"/>
        <w:numPr>
          <w:ilvl w:val="0"/>
          <w:numId w:val="16"/>
        </w:numPr>
        <w:rPr>
          <w:rFonts w:ascii="Calibri" w:hAnsi="Calibri"/>
        </w:rPr>
      </w:pPr>
      <w:r>
        <w:rPr>
          <w:rFonts w:ascii="Calibri" w:hAnsi="Calibri"/>
        </w:rPr>
        <w:t xml:space="preserve">The Government of </w:t>
      </w:r>
      <w:r w:rsidR="00817636">
        <w:rPr>
          <w:rFonts w:ascii="Calibri" w:hAnsi="Calibri"/>
        </w:rPr>
        <w:t>Serbia</w:t>
      </w:r>
      <w:r w:rsidR="007E4F9D" w:rsidRPr="001F5C08">
        <w:rPr>
          <w:rFonts w:ascii="Calibri" w:hAnsi="Calibri"/>
        </w:rPr>
        <w:t xml:space="preserve"> is responsible for compliance with </w:t>
      </w:r>
      <w:r w:rsidR="00B50AE3" w:rsidRPr="001F5C08">
        <w:rPr>
          <w:rFonts w:ascii="Calibri" w:hAnsi="Calibri"/>
        </w:rPr>
        <w:t xml:space="preserve">all requirements of </w:t>
      </w:r>
      <w:r w:rsidR="007E4F9D" w:rsidRPr="001F5C08">
        <w:rPr>
          <w:rFonts w:ascii="Calibri" w:hAnsi="Calibri"/>
        </w:rPr>
        <w:t xml:space="preserve">the ESCP even when implementation of specific measures and actions is conducted by the </w:t>
      </w:r>
      <w:r w:rsidR="00536689" w:rsidRPr="001F5C08">
        <w:rPr>
          <w:rFonts w:ascii="Calibri" w:hAnsi="Calibri"/>
        </w:rPr>
        <w:t>Ministr</w:t>
      </w:r>
      <w:r w:rsidR="00AF6D27" w:rsidRPr="001F5C08">
        <w:rPr>
          <w:rFonts w:ascii="Calibri" w:hAnsi="Calibri"/>
        </w:rPr>
        <w:t>ies</w:t>
      </w:r>
      <w:r w:rsidR="007E4F9D" w:rsidRPr="001F5C08">
        <w:rPr>
          <w:rFonts w:ascii="Calibri" w:hAnsi="Calibri"/>
        </w:rPr>
        <w:t xml:space="preserve"> referenced in </w:t>
      </w:r>
      <w:r w:rsidR="00F8178A" w:rsidRPr="001F5C08">
        <w:rPr>
          <w:rFonts w:ascii="Calibri" w:hAnsi="Calibri"/>
        </w:rPr>
        <w:t>1</w:t>
      </w:r>
      <w:r w:rsidR="007E4F9D" w:rsidRPr="001F5C08">
        <w:rPr>
          <w:rFonts w:ascii="Calibri" w:hAnsi="Calibri"/>
        </w:rPr>
        <w:t>. above</w:t>
      </w:r>
      <w:r w:rsidR="000D043C" w:rsidRPr="001F5C08">
        <w:rPr>
          <w:rFonts w:ascii="Calibri" w:hAnsi="Calibri"/>
        </w:rPr>
        <w:t>.</w:t>
      </w:r>
      <w:r w:rsidR="007E4F9D" w:rsidRPr="001F5C08" w:rsidDel="007E4F9D">
        <w:rPr>
          <w:rFonts w:ascii="Calibri" w:hAnsi="Calibri"/>
        </w:rPr>
        <w:t xml:space="preserve"> </w:t>
      </w:r>
    </w:p>
    <w:p w14:paraId="6BE173E3" w14:textId="5665D992" w:rsidR="00747414" w:rsidRPr="001F5C08" w:rsidRDefault="00536689" w:rsidP="00747414">
      <w:pPr>
        <w:pStyle w:val="ListParagraph"/>
        <w:numPr>
          <w:ilvl w:val="0"/>
          <w:numId w:val="16"/>
        </w:numPr>
        <w:rPr>
          <w:rFonts w:ascii="Calibri" w:hAnsi="Calibri"/>
        </w:rPr>
      </w:pPr>
      <w:r w:rsidRPr="001F5C08">
        <w:rPr>
          <w:rFonts w:ascii="Calibri" w:hAnsi="Calibri"/>
        </w:rPr>
        <w:t xml:space="preserve">Implementation </w:t>
      </w:r>
      <w:r w:rsidR="004E7CEA" w:rsidRPr="001F5C08">
        <w:rPr>
          <w:rFonts w:ascii="Calibri" w:hAnsi="Calibri"/>
        </w:rPr>
        <w:t xml:space="preserve">of the </w:t>
      </w:r>
      <w:r w:rsidR="00423785" w:rsidRPr="001F5C08">
        <w:rPr>
          <w:rFonts w:ascii="Calibri" w:hAnsi="Calibri"/>
        </w:rPr>
        <w:t xml:space="preserve">material </w:t>
      </w:r>
      <w:r w:rsidR="004E7CEA" w:rsidRPr="001F5C08">
        <w:rPr>
          <w:rFonts w:ascii="Calibri" w:hAnsi="Calibri"/>
        </w:rPr>
        <w:t xml:space="preserve">measures and </w:t>
      </w:r>
      <w:r w:rsidRPr="001F5C08">
        <w:rPr>
          <w:rFonts w:ascii="Calibri" w:hAnsi="Calibri"/>
        </w:rPr>
        <w:t xml:space="preserve">actions set out </w:t>
      </w:r>
      <w:r w:rsidR="004E7CEA" w:rsidRPr="001F5C08">
        <w:rPr>
          <w:rFonts w:ascii="Calibri" w:hAnsi="Calibri"/>
        </w:rPr>
        <w:t xml:space="preserve">in this ESCP will be </w:t>
      </w:r>
      <w:r w:rsidRPr="001F5C08">
        <w:rPr>
          <w:rFonts w:ascii="Calibri" w:hAnsi="Calibri"/>
        </w:rPr>
        <w:t xml:space="preserve">monitored and </w:t>
      </w:r>
      <w:r w:rsidR="004E7CEA" w:rsidRPr="001F5C08">
        <w:rPr>
          <w:rFonts w:ascii="Calibri" w:hAnsi="Calibri"/>
        </w:rPr>
        <w:t xml:space="preserve">reported to the Bank by </w:t>
      </w:r>
      <w:r w:rsidR="00D30C4D">
        <w:rPr>
          <w:rFonts w:ascii="Calibri" w:hAnsi="Calibri"/>
        </w:rPr>
        <w:t xml:space="preserve">the Government of </w:t>
      </w:r>
      <w:r w:rsidR="00817636">
        <w:rPr>
          <w:rFonts w:ascii="Calibri" w:hAnsi="Calibri"/>
        </w:rPr>
        <w:t>Serbia</w:t>
      </w:r>
      <w:r w:rsidR="00AF6D27" w:rsidRPr="001F5C08">
        <w:rPr>
          <w:rFonts w:ascii="Calibri" w:hAnsi="Calibri"/>
        </w:rPr>
        <w:t xml:space="preserve"> </w:t>
      </w:r>
      <w:r w:rsidR="004E7CEA" w:rsidRPr="001F5C08">
        <w:rPr>
          <w:rFonts w:ascii="Calibri" w:hAnsi="Calibri"/>
        </w:rPr>
        <w:t xml:space="preserve">as required by the ESCP and the conditions of the legal agreement, and </w:t>
      </w:r>
      <w:r w:rsidR="00423785" w:rsidRPr="001F5C08">
        <w:rPr>
          <w:rFonts w:ascii="Calibri" w:hAnsi="Calibri"/>
        </w:rPr>
        <w:t xml:space="preserve">the </w:t>
      </w:r>
      <w:r w:rsidR="007E4F9D" w:rsidRPr="001F5C08">
        <w:rPr>
          <w:rFonts w:ascii="Calibri" w:hAnsi="Calibri"/>
        </w:rPr>
        <w:t>B</w:t>
      </w:r>
      <w:r w:rsidR="00423785" w:rsidRPr="001F5C08">
        <w:rPr>
          <w:rFonts w:ascii="Calibri" w:hAnsi="Calibri"/>
        </w:rPr>
        <w:t xml:space="preserve">ank will monitor and assess progress and completion of the </w:t>
      </w:r>
      <w:r w:rsidR="00E006D9" w:rsidRPr="001F5C08">
        <w:rPr>
          <w:rFonts w:ascii="Calibri" w:hAnsi="Calibri"/>
        </w:rPr>
        <w:t xml:space="preserve">material </w:t>
      </w:r>
      <w:r w:rsidR="00423785" w:rsidRPr="001F5C08">
        <w:rPr>
          <w:rFonts w:ascii="Calibri" w:hAnsi="Calibri"/>
        </w:rPr>
        <w:t xml:space="preserve">measures and actions </w:t>
      </w:r>
      <w:r w:rsidR="004E7CEA" w:rsidRPr="001F5C08">
        <w:rPr>
          <w:rFonts w:ascii="Calibri" w:hAnsi="Calibri"/>
        </w:rPr>
        <w:t xml:space="preserve">throughout implementation of the Project. </w:t>
      </w:r>
    </w:p>
    <w:p w14:paraId="4327BA82" w14:textId="54613E9B" w:rsidR="00F61F64" w:rsidRPr="009575BF" w:rsidRDefault="00E25210" w:rsidP="00F8178A">
      <w:pPr>
        <w:pStyle w:val="ListParagraph"/>
        <w:numPr>
          <w:ilvl w:val="0"/>
          <w:numId w:val="16"/>
        </w:numPr>
        <w:rPr>
          <w:rFonts w:ascii="Calibri" w:hAnsi="Calibri"/>
        </w:rPr>
      </w:pPr>
      <w:r w:rsidRPr="009575BF">
        <w:rPr>
          <w:rFonts w:ascii="Calibri" w:hAnsi="Calibri"/>
        </w:rPr>
        <w:t xml:space="preserve">As agreed by the </w:t>
      </w:r>
      <w:r w:rsidRPr="009575BF">
        <w:rPr>
          <w:rFonts w:ascii="Calibri" w:hAnsi="Calibri"/>
          <w:i/>
        </w:rPr>
        <w:t>Bank</w:t>
      </w:r>
      <w:r w:rsidRPr="009575BF">
        <w:rPr>
          <w:rFonts w:ascii="Calibri" w:hAnsi="Calibri"/>
        </w:rPr>
        <w:t xml:space="preserve"> and </w:t>
      </w:r>
      <w:bookmarkStart w:id="0" w:name="_Hlk526065035"/>
      <w:r w:rsidR="00D30C4D">
        <w:rPr>
          <w:rFonts w:ascii="Calibri" w:hAnsi="Calibri"/>
        </w:rPr>
        <w:t xml:space="preserve">the Government of </w:t>
      </w:r>
      <w:bookmarkEnd w:id="0"/>
      <w:r w:rsidR="00817636">
        <w:rPr>
          <w:rFonts w:ascii="Calibri" w:hAnsi="Calibri"/>
        </w:rPr>
        <w:t>Serbia</w:t>
      </w:r>
      <w:r w:rsidRPr="009575BF">
        <w:rPr>
          <w:rFonts w:ascii="Calibri" w:hAnsi="Calibri"/>
        </w:rPr>
        <w:t xml:space="preserve">, this ESCP may be revised from time to time during Project implementation, </w:t>
      </w:r>
      <w:r w:rsidR="00536689" w:rsidRPr="009575BF">
        <w:rPr>
          <w:rFonts w:ascii="Calibri" w:hAnsi="Calibri"/>
        </w:rPr>
        <w:t xml:space="preserve">to reflect adaptive </w:t>
      </w:r>
      <w:r w:rsidR="0001758C" w:rsidRPr="009575BF">
        <w:rPr>
          <w:rFonts w:ascii="Calibri" w:hAnsi="Calibri"/>
        </w:rPr>
        <w:t>management of P</w:t>
      </w:r>
      <w:r w:rsidR="004728A0" w:rsidRPr="009575BF">
        <w:rPr>
          <w:rFonts w:ascii="Calibri" w:hAnsi="Calibri"/>
        </w:rPr>
        <w:t xml:space="preserve">roject changes and unforeseen circumstances or in response to </w:t>
      </w:r>
      <w:r w:rsidR="00915D58" w:rsidRPr="009575BF">
        <w:rPr>
          <w:rFonts w:ascii="Calibri" w:hAnsi="Calibri"/>
        </w:rPr>
        <w:t xml:space="preserve">assessment </w:t>
      </w:r>
      <w:r w:rsidR="0001758C" w:rsidRPr="009575BF">
        <w:rPr>
          <w:rFonts w:ascii="Calibri" w:hAnsi="Calibri"/>
        </w:rPr>
        <w:t>of P</w:t>
      </w:r>
      <w:r w:rsidR="004728A0" w:rsidRPr="009575BF">
        <w:rPr>
          <w:rFonts w:ascii="Calibri" w:hAnsi="Calibri"/>
        </w:rPr>
        <w:t xml:space="preserve">roject performance </w:t>
      </w:r>
      <w:r w:rsidRPr="009575BF">
        <w:rPr>
          <w:rFonts w:ascii="Calibri" w:hAnsi="Calibri"/>
        </w:rPr>
        <w:t>conducted under the ESCP itself.</w:t>
      </w:r>
      <w:r w:rsidR="008256E0" w:rsidRPr="009575BF">
        <w:rPr>
          <w:rFonts w:ascii="Calibri" w:hAnsi="Calibri"/>
        </w:rPr>
        <w:t xml:space="preserve"> In such circumstances, </w:t>
      </w:r>
      <w:r w:rsidR="00D30C4D">
        <w:rPr>
          <w:rFonts w:ascii="Calibri" w:hAnsi="Calibri"/>
        </w:rPr>
        <w:t xml:space="preserve">the Government of </w:t>
      </w:r>
      <w:r w:rsidR="009D61C8">
        <w:rPr>
          <w:rFonts w:ascii="Calibri" w:hAnsi="Calibri"/>
        </w:rPr>
        <w:t>Serbia</w:t>
      </w:r>
      <w:r w:rsidR="00F634A8">
        <w:rPr>
          <w:rFonts w:ascii="Calibri" w:hAnsi="Calibri"/>
        </w:rPr>
        <w:t xml:space="preserve"> </w:t>
      </w:r>
      <w:r w:rsidR="006F5362" w:rsidRPr="009575BF">
        <w:rPr>
          <w:rFonts w:ascii="Calibri" w:hAnsi="Calibri"/>
        </w:rPr>
        <w:t>will agree</w:t>
      </w:r>
      <w:r w:rsidR="002900CC" w:rsidRPr="009575BF">
        <w:rPr>
          <w:rFonts w:ascii="Calibri" w:hAnsi="Calibri"/>
        </w:rPr>
        <w:t xml:space="preserve"> </w:t>
      </w:r>
      <w:r w:rsidR="00A54559" w:rsidRPr="009575BF">
        <w:rPr>
          <w:rFonts w:ascii="Calibri" w:hAnsi="Calibri"/>
        </w:rPr>
        <w:t xml:space="preserve">to the </w:t>
      </w:r>
      <w:r w:rsidR="00620639" w:rsidRPr="009575BF">
        <w:rPr>
          <w:rFonts w:ascii="Calibri" w:hAnsi="Calibri"/>
        </w:rPr>
        <w:t xml:space="preserve">changes with the </w:t>
      </w:r>
      <w:r w:rsidR="00620639" w:rsidRPr="009575BF">
        <w:rPr>
          <w:rFonts w:ascii="Calibri" w:hAnsi="Calibri"/>
          <w:i/>
        </w:rPr>
        <w:t>Bank</w:t>
      </w:r>
      <w:r w:rsidR="006F5362" w:rsidRPr="009575BF">
        <w:rPr>
          <w:rFonts w:ascii="Calibri" w:hAnsi="Calibri"/>
        </w:rPr>
        <w:t xml:space="preserve"> and will</w:t>
      </w:r>
      <w:r w:rsidR="004728A0" w:rsidRPr="009575BF">
        <w:rPr>
          <w:rFonts w:ascii="Calibri" w:hAnsi="Calibri"/>
        </w:rPr>
        <w:t xml:space="preserve"> update the ESCP to reflect such changes.</w:t>
      </w:r>
      <w:r w:rsidR="00561847" w:rsidRPr="009575BF">
        <w:rPr>
          <w:rFonts w:ascii="Calibri" w:hAnsi="Calibri"/>
        </w:rPr>
        <w:t xml:space="preserve"> </w:t>
      </w:r>
      <w:r w:rsidR="00620639" w:rsidRPr="009575BF">
        <w:rPr>
          <w:rFonts w:ascii="Calibri" w:hAnsi="Calibri"/>
        </w:rPr>
        <w:t xml:space="preserve">Agreement on changes to </w:t>
      </w:r>
      <w:r w:rsidR="00561847" w:rsidRPr="009575BF">
        <w:rPr>
          <w:rFonts w:ascii="Calibri" w:hAnsi="Calibri"/>
        </w:rPr>
        <w:t xml:space="preserve">the ESCP will be documented through the exchange of letters signed between the </w:t>
      </w:r>
      <w:r w:rsidR="00561847" w:rsidRPr="009575BF">
        <w:rPr>
          <w:rFonts w:ascii="Calibri" w:hAnsi="Calibri"/>
          <w:i/>
        </w:rPr>
        <w:t>Bank</w:t>
      </w:r>
      <w:r w:rsidR="00561847" w:rsidRPr="009575BF">
        <w:rPr>
          <w:rFonts w:ascii="Calibri" w:hAnsi="Calibri"/>
        </w:rPr>
        <w:t xml:space="preserve"> and the</w:t>
      </w:r>
      <w:r w:rsidR="000B477E">
        <w:rPr>
          <w:rFonts w:ascii="Calibri" w:hAnsi="Calibri"/>
        </w:rPr>
        <w:t xml:space="preserve"> Government of</w:t>
      </w:r>
      <w:r w:rsidR="00F634A8">
        <w:rPr>
          <w:rFonts w:ascii="Calibri" w:hAnsi="Calibri"/>
        </w:rPr>
        <w:t xml:space="preserve"> </w:t>
      </w:r>
      <w:r w:rsidR="0022075E">
        <w:rPr>
          <w:rFonts w:ascii="Calibri" w:hAnsi="Calibri"/>
        </w:rPr>
        <w:t>Serbia</w:t>
      </w:r>
      <w:r w:rsidR="00561847" w:rsidRPr="009575BF">
        <w:rPr>
          <w:rFonts w:ascii="Calibri" w:hAnsi="Calibri"/>
        </w:rPr>
        <w:t xml:space="preserve">. </w:t>
      </w:r>
      <w:r w:rsidR="00301D4F" w:rsidRPr="009575BF">
        <w:rPr>
          <w:rFonts w:ascii="Calibri" w:hAnsi="Calibri"/>
        </w:rPr>
        <w:t xml:space="preserve">The </w:t>
      </w:r>
      <w:r w:rsidR="000B477E">
        <w:rPr>
          <w:rFonts w:ascii="Calibri" w:hAnsi="Calibri"/>
        </w:rPr>
        <w:t xml:space="preserve">Government of </w:t>
      </w:r>
      <w:r w:rsidR="0022075E">
        <w:rPr>
          <w:rFonts w:ascii="Calibri" w:hAnsi="Calibri"/>
        </w:rPr>
        <w:t>Serbia</w:t>
      </w:r>
      <w:r w:rsidR="00F634A8">
        <w:rPr>
          <w:rFonts w:ascii="Calibri" w:hAnsi="Calibri"/>
        </w:rPr>
        <w:t xml:space="preserve"> </w:t>
      </w:r>
      <w:r w:rsidR="00301D4F" w:rsidRPr="009575BF">
        <w:rPr>
          <w:rFonts w:ascii="Calibri" w:hAnsi="Calibri"/>
        </w:rPr>
        <w:t>will prom</w:t>
      </w:r>
      <w:r w:rsidR="00DF61F4" w:rsidRPr="009575BF">
        <w:rPr>
          <w:rFonts w:ascii="Calibri" w:hAnsi="Calibri"/>
        </w:rPr>
        <w:t>ptly disclose</w:t>
      </w:r>
      <w:r w:rsidR="00301D4F" w:rsidRPr="009575BF">
        <w:rPr>
          <w:rFonts w:ascii="Calibri" w:hAnsi="Calibri"/>
        </w:rPr>
        <w:t xml:space="preserve"> the updated ESCP.</w:t>
      </w:r>
      <w:r w:rsidR="001722BA" w:rsidRPr="009575BF">
        <w:rPr>
          <w:rFonts w:ascii="Calibri" w:hAnsi="Calibri"/>
        </w:rPr>
        <w:t xml:space="preserve"> </w:t>
      </w:r>
    </w:p>
    <w:p w14:paraId="2EFFCA96" w14:textId="42754E84" w:rsidR="00C35CAD" w:rsidRPr="00D53254" w:rsidRDefault="00561847" w:rsidP="00C35CAD">
      <w:pPr>
        <w:pStyle w:val="ListParagraph"/>
        <w:numPr>
          <w:ilvl w:val="0"/>
          <w:numId w:val="16"/>
        </w:numPr>
        <w:rPr>
          <w:rFonts w:ascii="Calibri" w:hAnsi="Calibri"/>
        </w:rPr>
      </w:pPr>
      <w:r w:rsidRPr="009575BF">
        <w:rPr>
          <w:rFonts w:ascii="Calibri" w:hAnsi="Calibri"/>
        </w:rPr>
        <w:t>Where</w:t>
      </w:r>
      <w:r w:rsidR="009F425A" w:rsidRPr="009575BF">
        <w:rPr>
          <w:rFonts w:ascii="Calibri" w:hAnsi="Calibri"/>
        </w:rPr>
        <w:t xml:space="preserve"> Project changes, unforeseen circumstances</w:t>
      </w:r>
      <w:r w:rsidR="009B570F" w:rsidRPr="009575BF">
        <w:rPr>
          <w:rFonts w:ascii="Calibri" w:hAnsi="Calibri"/>
        </w:rPr>
        <w:t>,</w:t>
      </w:r>
      <w:r w:rsidR="009F425A" w:rsidRPr="009575BF">
        <w:rPr>
          <w:rFonts w:ascii="Calibri" w:hAnsi="Calibri"/>
        </w:rPr>
        <w:t xml:space="preserve"> or Project performance </w:t>
      </w:r>
      <w:r w:rsidR="00026C40" w:rsidRPr="009575BF">
        <w:rPr>
          <w:rFonts w:ascii="Calibri" w:hAnsi="Calibri"/>
        </w:rPr>
        <w:t xml:space="preserve">result in changes to </w:t>
      </w:r>
      <w:r w:rsidR="00E006D9" w:rsidRPr="009575BF">
        <w:rPr>
          <w:rFonts w:ascii="Calibri" w:hAnsi="Calibri"/>
        </w:rPr>
        <w:t xml:space="preserve">the </w:t>
      </w:r>
      <w:r w:rsidRPr="009575BF">
        <w:rPr>
          <w:rFonts w:ascii="Calibri" w:hAnsi="Calibri"/>
        </w:rPr>
        <w:t xml:space="preserve">risks and impacts </w:t>
      </w:r>
      <w:r w:rsidRPr="00D53254">
        <w:rPr>
          <w:rFonts w:ascii="Calibri" w:hAnsi="Calibri"/>
        </w:rPr>
        <w:t xml:space="preserve">during Project implementation, the </w:t>
      </w:r>
      <w:r w:rsidR="0026451B">
        <w:rPr>
          <w:rFonts w:ascii="Calibri" w:hAnsi="Calibri"/>
        </w:rPr>
        <w:t xml:space="preserve">Government of </w:t>
      </w:r>
      <w:r w:rsidR="0022075E">
        <w:rPr>
          <w:rFonts w:ascii="Calibri" w:hAnsi="Calibri"/>
        </w:rPr>
        <w:t>Serbia</w:t>
      </w:r>
      <w:r w:rsidR="00301D4F" w:rsidRPr="00D53254">
        <w:rPr>
          <w:rFonts w:ascii="Calibri" w:hAnsi="Calibri"/>
        </w:rPr>
        <w:t xml:space="preserve"> </w:t>
      </w:r>
      <w:r w:rsidRPr="00D53254">
        <w:rPr>
          <w:rFonts w:ascii="Calibri" w:hAnsi="Calibri"/>
        </w:rPr>
        <w:t>shall provide</w:t>
      </w:r>
      <w:r w:rsidRPr="00D53254">
        <w:rPr>
          <w:rFonts w:cstheme="minorHAnsi"/>
        </w:rPr>
        <w:t xml:space="preserve"> additional funds</w:t>
      </w:r>
      <w:r w:rsidR="009F425A" w:rsidRPr="00D53254">
        <w:rPr>
          <w:rFonts w:cstheme="minorHAnsi"/>
        </w:rPr>
        <w:t>, if needed,</w:t>
      </w:r>
      <w:r w:rsidRPr="00D53254">
        <w:rPr>
          <w:rFonts w:cstheme="minorHAnsi"/>
        </w:rPr>
        <w:t xml:space="preserve"> to implement actions and measures to address such risks and impacts, which may include environmental </w:t>
      </w:r>
      <w:r w:rsidR="00D53254" w:rsidRPr="00D53254">
        <w:rPr>
          <w:rFonts w:cstheme="minorHAnsi"/>
        </w:rPr>
        <w:t xml:space="preserve">or </w:t>
      </w:r>
      <w:r w:rsidRPr="00D53254">
        <w:rPr>
          <w:rFonts w:cstheme="minorHAnsi"/>
        </w:rPr>
        <w:t xml:space="preserve">labor </w:t>
      </w:r>
      <w:r w:rsidR="00D87C14">
        <w:rPr>
          <w:rFonts w:cstheme="minorHAnsi"/>
        </w:rPr>
        <w:t xml:space="preserve">risks. </w:t>
      </w:r>
    </w:p>
    <w:p w14:paraId="0721A049" w14:textId="77777777" w:rsidR="00C35CAD" w:rsidRDefault="00C35CAD" w:rsidP="00C35CAD">
      <w:pPr>
        <w:rPr>
          <w:rFonts w:ascii="Calibri" w:hAnsi="Calibri"/>
        </w:rPr>
      </w:pPr>
    </w:p>
    <w:p w14:paraId="662AEE8E" w14:textId="2A3D19A0" w:rsidR="00D17620" w:rsidRPr="00C35CAD" w:rsidRDefault="00D17620" w:rsidP="00C35CAD">
      <w:pPr>
        <w:rPr>
          <w:rFonts w:ascii="Calibri" w:hAnsi="Calibri"/>
        </w:rPr>
        <w:sectPr w:rsidR="00D17620" w:rsidRPr="00C35CAD"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6787B6F2" w14:textId="1EE95998" w:rsidR="00ED3D08" w:rsidRPr="00FA0A88" w:rsidRDefault="00C549B1" w:rsidP="005D394E">
            <w:pPr>
              <w:keepLines/>
              <w:widowControl w:val="0"/>
              <w:jc w:val="center"/>
              <w:rPr>
                <w:rFonts w:cstheme="minorHAnsi"/>
                <w:b/>
                <w:sz w:val="20"/>
                <w:szCs w:val="20"/>
              </w:rPr>
            </w:pPr>
            <w:r w:rsidRPr="00FA0A88">
              <w:rPr>
                <w:rFonts w:cstheme="minorHAnsi"/>
                <w:b/>
                <w:sz w:val="20"/>
                <w:szCs w:val="20"/>
              </w:rPr>
              <w:t>TIMEFRAME</w:t>
            </w:r>
          </w:p>
          <w:p w14:paraId="0F9A1F85" w14:textId="12ABE548" w:rsidR="00C549B1" w:rsidRPr="00FA0A88"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23C09A4" w:rsidR="00ED3D08" w:rsidRPr="00FA0A88" w:rsidRDefault="00C549B1" w:rsidP="005D394E">
            <w:pPr>
              <w:keepLines/>
              <w:widowControl w:val="0"/>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E90C16" w14:paraId="0FBBB46F" w14:textId="77777777" w:rsidTr="00594521">
        <w:trPr>
          <w:cantSplit/>
          <w:trHeight w:val="20"/>
        </w:trPr>
        <w:tc>
          <w:tcPr>
            <w:tcW w:w="715" w:type="dxa"/>
            <w:tcBorders>
              <w:bottom w:val="single" w:sz="4" w:space="0" w:color="auto"/>
            </w:tcBorders>
          </w:tcPr>
          <w:p w14:paraId="07CC6849" w14:textId="346952FF" w:rsidR="00502173" w:rsidRPr="00E90C16" w:rsidRDefault="00502173" w:rsidP="005D394E">
            <w:pPr>
              <w:keepLines/>
              <w:widowControl w:val="0"/>
              <w:jc w:val="center"/>
              <w:rPr>
                <w:rFonts w:cstheme="minorHAnsi"/>
                <w:sz w:val="20"/>
                <w:szCs w:val="20"/>
              </w:rPr>
            </w:pPr>
            <w:r w:rsidRPr="00E90C16">
              <w:rPr>
                <w:rFonts w:cstheme="minorHAnsi"/>
                <w:sz w:val="20"/>
                <w:szCs w:val="20"/>
              </w:rPr>
              <w:t>A</w:t>
            </w:r>
          </w:p>
        </w:tc>
        <w:tc>
          <w:tcPr>
            <w:tcW w:w="6120" w:type="dxa"/>
            <w:tcBorders>
              <w:bottom w:val="single" w:sz="4" w:space="0" w:color="auto"/>
            </w:tcBorders>
          </w:tcPr>
          <w:p w14:paraId="4DB1A360" w14:textId="77777777" w:rsidR="001F5F4A" w:rsidRDefault="00502173" w:rsidP="005D394E">
            <w:pPr>
              <w:keepLines/>
              <w:widowControl w:val="0"/>
              <w:rPr>
                <w:rFonts w:cstheme="minorHAnsi"/>
                <w:sz w:val="20"/>
                <w:szCs w:val="20"/>
              </w:rPr>
            </w:pPr>
            <w:r w:rsidRPr="00E90C16">
              <w:rPr>
                <w:rFonts w:cstheme="minorHAnsi"/>
                <w:b/>
                <w:color w:val="4472C4" w:themeColor="accent1"/>
                <w:sz w:val="20"/>
                <w:szCs w:val="20"/>
              </w:rPr>
              <w:t>REGULAR REPORTING</w:t>
            </w:r>
            <w:r w:rsidRPr="00E90C16">
              <w:rPr>
                <w:rFonts w:cstheme="minorHAnsi"/>
                <w:sz w:val="20"/>
                <w:szCs w:val="20"/>
              </w:rPr>
              <w:t xml:space="preserve"> </w:t>
            </w:r>
          </w:p>
          <w:p w14:paraId="74ED3DC4" w14:textId="0AFAAC53" w:rsidR="00502173" w:rsidRPr="00E90C16" w:rsidRDefault="00C36DFB" w:rsidP="005D394E">
            <w:pPr>
              <w:keepLines/>
              <w:widowControl w:val="0"/>
              <w:rPr>
                <w:rFonts w:cstheme="minorHAnsi"/>
                <w:sz w:val="20"/>
                <w:szCs w:val="20"/>
              </w:rPr>
            </w:pPr>
            <w:r w:rsidRPr="00543E5E">
              <w:rPr>
                <w:rFonts w:cstheme="minorHAnsi"/>
                <w:sz w:val="20"/>
                <w:szCs w:val="20"/>
              </w:rPr>
              <w:t>Prepare and submit regular monitoring reports on the implementation of the ESCP.</w:t>
            </w:r>
          </w:p>
          <w:p w14:paraId="408FE8D7" w14:textId="693354A6" w:rsidR="00502173" w:rsidRPr="00E90C16" w:rsidRDefault="00502173" w:rsidP="005D394E">
            <w:pPr>
              <w:keepLines/>
              <w:widowControl w:val="0"/>
              <w:rPr>
                <w:rFonts w:eastAsia="Times New Roman" w:cstheme="minorHAnsi"/>
                <w:bCs/>
                <w:color w:val="4472C4" w:themeColor="accent1"/>
                <w:sz w:val="20"/>
                <w:szCs w:val="20"/>
              </w:rPr>
            </w:pPr>
            <w:r w:rsidRPr="00E90C16">
              <w:rPr>
                <w:rFonts w:eastAsia="Times New Roman" w:cstheme="minorHAnsi"/>
                <w:bCs/>
                <w:color w:val="4472C4" w:themeColor="accent1"/>
                <w:sz w:val="20"/>
                <w:szCs w:val="20"/>
              </w:rPr>
              <w:t xml:space="preserve"> </w:t>
            </w:r>
          </w:p>
          <w:p w14:paraId="6BE45B11" w14:textId="77777777" w:rsidR="00502173" w:rsidRPr="00E90C16" w:rsidRDefault="00502173" w:rsidP="005D394E">
            <w:pPr>
              <w:keepLines/>
              <w:widowControl w:val="0"/>
              <w:rPr>
                <w:rFonts w:cstheme="minorHAnsi"/>
                <w:sz w:val="20"/>
                <w:szCs w:val="20"/>
              </w:rPr>
            </w:pPr>
          </w:p>
          <w:p w14:paraId="47C9621B" w14:textId="7C9B4697" w:rsidR="00411D87" w:rsidRPr="00E90C16" w:rsidRDefault="00411D87" w:rsidP="003C73B4">
            <w:pPr>
              <w:keepLines/>
              <w:widowControl w:val="0"/>
              <w:rPr>
                <w:rFonts w:cstheme="minorHAnsi"/>
                <w:sz w:val="20"/>
                <w:szCs w:val="20"/>
              </w:rPr>
            </w:pPr>
          </w:p>
        </w:tc>
        <w:tc>
          <w:tcPr>
            <w:tcW w:w="3780" w:type="dxa"/>
            <w:tcBorders>
              <w:bottom w:val="single" w:sz="4" w:space="0" w:color="auto"/>
            </w:tcBorders>
          </w:tcPr>
          <w:p w14:paraId="13C57862" w14:textId="6BF0138D" w:rsidR="00502173" w:rsidRPr="00543E5E" w:rsidRDefault="00032CAE" w:rsidP="005D394E">
            <w:pPr>
              <w:keepLines/>
              <w:widowControl w:val="0"/>
              <w:rPr>
                <w:rFonts w:cstheme="minorHAnsi"/>
                <w:sz w:val="20"/>
                <w:szCs w:val="20"/>
              </w:rPr>
            </w:pPr>
            <w:r w:rsidRPr="00543E5E">
              <w:rPr>
                <w:rFonts w:cstheme="minorHAnsi"/>
                <w:sz w:val="20"/>
                <w:szCs w:val="20"/>
              </w:rPr>
              <w:t>A</w:t>
            </w:r>
            <w:r w:rsidR="00502173" w:rsidRPr="00543E5E">
              <w:rPr>
                <w:rFonts w:cstheme="minorHAnsi"/>
                <w:sz w:val="20"/>
                <w:szCs w:val="20"/>
              </w:rPr>
              <w:t>nnual</w:t>
            </w:r>
            <w:r w:rsidRPr="00543E5E">
              <w:rPr>
                <w:rFonts w:cstheme="minorHAnsi"/>
                <w:sz w:val="20"/>
                <w:szCs w:val="20"/>
              </w:rPr>
              <w:t>ly</w:t>
            </w:r>
            <w:r w:rsidR="00502173" w:rsidRPr="00543E5E">
              <w:rPr>
                <w:rFonts w:cstheme="minorHAnsi"/>
                <w:sz w:val="20"/>
                <w:szCs w:val="20"/>
              </w:rPr>
              <w:t xml:space="preserve"> throughout Project implementation. </w:t>
            </w:r>
            <w:r w:rsidR="008558BC" w:rsidRPr="00543E5E">
              <w:rPr>
                <w:rFonts w:cstheme="minorHAnsi"/>
                <w:sz w:val="20"/>
                <w:szCs w:val="20"/>
              </w:rPr>
              <w:t>Coordinate with the WB ISR Report.</w:t>
            </w:r>
          </w:p>
          <w:p w14:paraId="19A80186" w14:textId="3C569968" w:rsidR="00502173" w:rsidRPr="00E90C16" w:rsidRDefault="00502173" w:rsidP="005D394E">
            <w:pPr>
              <w:keepLines/>
              <w:widowControl w:val="0"/>
              <w:rPr>
                <w:rFonts w:cstheme="minorHAnsi"/>
                <w:i/>
                <w:sz w:val="20"/>
                <w:szCs w:val="20"/>
              </w:rPr>
            </w:pPr>
          </w:p>
        </w:tc>
        <w:tc>
          <w:tcPr>
            <w:tcW w:w="3690" w:type="dxa"/>
            <w:tcBorders>
              <w:bottom w:val="single" w:sz="4" w:space="0" w:color="auto"/>
            </w:tcBorders>
          </w:tcPr>
          <w:p w14:paraId="5D4F34D0" w14:textId="3FE5C9C1" w:rsidR="008F5B07" w:rsidRPr="00543E5E" w:rsidRDefault="00293701" w:rsidP="005D394E">
            <w:pPr>
              <w:keepLines/>
              <w:widowControl w:val="0"/>
              <w:rPr>
                <w:rFonts w:cstheme="minorHAnsi"/>
                <w:sz w:val="20"/>
                <w:szCs w:val="20"/>
              </w:rPr>
            </w:pPr>
            <w:r w:rsidRPr="001C6FB1">
              <w:rPr>
                <w:rFonts w:cstheme="minorHAnsi"/>
              </w:rPr>
              <w:t>MAFWM</w:t>
            </w:r>
          </w:p>
        </w:tc>
      </w:tr>
      <w:tr w:rsidR="00502173" w:rsidRPr="00E90C16" w14:paraId="60FD2891" w14:textId="77777777" w:rsidTr="00594521">
        <w:trPr>
          <w:cantSplit/>
          <w:trHeight w:val="20"/>
        </w:trPr>
        <w:tc>
          <w:tcPr>
            <w:tcW w:w="715" w:type="dxa"/>
            <w:tcBorders>
              <w:bottom w:val="single" w:sz="4" w:space="0" w:color="000000"/>
            </w:tcBorders>
          </w:tcPr>
          <w:p w14:paraId="2F05AFC3" w14:textId="47A1D861" w:rsidR="00502173" w:rsidRPr="00E90C16" w:rsidRDefault="00502173" w:rsidP="005D394E">
            <w:pPr>
              <w:keepLines/>
              <w:widowControl w:val="0"/>
              <w:jc w:val="center"/>
              <w:rPr>
                <w:rFonts w:cstheme="minorHAnsi"/>
                <w:sz w:val="20"/>
                <w:szCs w:val="20"/>
              </w:rPr>
            </w:pPr>
            <w:r w:rsidRPr="00E90C16">
              <w:rPr>
                <w:rFonts w:cstheme="minorHAnsi"/>
                <w:sz w:val="20"/>
                <w:szCs w:val="20"/>
              </w:rPr>
              <w:t>B</w:t>
            </w:r>
          </w:p>
        </w:tc>
        <w:tc>
          <w:tcPr>
            <w:tcW w:w="6120" w:type="dxa"/>
            <w:tcBorders>
              <w:bottom w:val="single" w:sz="4" w:space="0" w:color="000000"/>
            </w:tcBorders>
          </w:tcPr>
          <w:p w14:paraId="44CDEC46" w14:textId="32D56EB2" w:rsidR="00E94EA7" w:rsidRPr="00E90C16"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E90C16">
              <w:rPr>
                <w:rFonts w:asciiTheme="minorHAnsi" w:hAnsiTheme="minorHAnsi" w:cstheme="minorHAnsi"/>
                <w:b/>
                <w:bCs/>
                <w:color w:val="4472C4" w:themeColor="accent1"/>
                <w:sz w:val="20"/>
              </w:rPr>
              <w:t>INCIDENTS AND ACCIDENTS</w:t>
            </w:r>
            <w:r w:rsidRPr="00E90C16">
              <w:rPr>
                <w:rFonts w:asciiTheme="minorHAnsi" w:hAnsiTheme="minorHAnsi" w:cstheme="minorHAnsi"/>
                <w:bCs/>
                <w:color w:val="4472C4" w:themeColor="accent1"/>
                <w:sz w:val="20"/>
              </w:rPr>
              <w:t xml:space="preserve"> </w:t>
            </w:r>
          </w:p>
          <w:p w14:paraId="0834907A" w14:textId="34CA4CBF" w:rsidR="00502173" w:rsidRPr="00E90C16" w:rsidRDefault="00502173" w:rsidP="005D394E">
            <w:pPr>
              <w:pStyle w:val="ModelNrmlSingle"/>
              <w:keepLines/>
              <w:widowControl w:val="0"/>
              <w:spacing w:after="0"/>
              <w:ind w:firstLine="0"/>
              <w:jc w:val="left"/>
              <w:rPr>
                <w:rFonts w:asciiTheme="minorHAnsi" w:hAnsiTheme="minorHAnsi" w:cstheme="minorHAnsi"/>
                <w:sz w:val="20"/>
              </w:rPr>
            </w:pPr>
            <w:r w:rsidRPr="00E90C16">
              <w:rPr>
                <w:rFonts w:asciiTheme="minorHAnsi" w:hAnsiTheme="minorHAnsi" w:cstheme="minorHAnsi"/>
                <w:bCs/>
                <w:sz w:val="20"/>
              </w:rPr>
              <w:t xml:space="preserve">Promptly notify the Bank </w:t>
            </w:r>
            <w:r w:rsidR="00AF3D21" w:rsidRPr="00E90C16">
              <w:rPr>
                <w:rFonts w:asciiTheme="minorHAnsi" w:hAnsiTheme="minorHAnsi" w:cstheme="minorHAnsi"/>
                <w:bCs/>
                <w:sz w:val="20"/>
              </w:rPr>
              <w:t xml:space="preserve">of </w:t>
            </w:r>
            <w:r w:rsidRPr="00E90C16">
              <w:rPr>
                <w:rFonts w:asciiTheme="minorHAnsi" w:hAnsiTheme="minorHAnsi" w:cstheme="minorHAnsi"/>
                <w:bCs/>
                <w:sz w:val="20"/>
              </w:rPr>
              <w:t xml:space="preserve">any incident or accident related </w:t>
            </w:r>
            <w:r w:rsidR="00AF3D21" w:rsidRPr="00E90C16">
              <w:rPr>
                <w:rFonts w:asciiTheme="minorHAnsi" w:hAnsiTheme="minorHAnsi" w:cstheme="minorHAnsi"/>
                <w:bCs/>
                <w:sz w:val="20"/>
              </w:rPr>
              <w:t xml:space="preserve">to </w:t>
            </w:r>
            <w:r w:rsidRPr="00E90C16">
              <w:rPr>
                <w:rFonts w:asciiTheme="minorHAnsi" w:hAnsiTheme="minorHAnsi" w:cstheme="minorHAnsi"/>
                <w:bCs/>
                <w:sz w:val="20"/>
              </w:rPr>
              <w:t>the Project which has, or is likely to have,</w:t>
            </w:r>
            <w:r w:rsidRPr="00E90C16">
              <w:rPr>
                <w:rFonts w:asciiTheme="minorHAnsi" w:hAnsiTheme="minorHAnsi" w:cstheme="minorHAnsi"/>
                <w:sz w:val="20"/>
              </w:rPr>
              <w:t xml:space="preserve"> a significant adverse effect on the environment, the affected communities, the public</w:t>
            </w:r>
            <w:r w:rsidR="00E54746" w:rsidRPr="00E90C16">
              <w:rPr>
                <w:rFonts w:asciiTheme="minorHAnsi" w:hAnsiTheme="minorHAnsi" w:cstheme="minorHAnsi"/>
                <w:sz w:val="20"/>
              </w:rPr>
              <w:t>, grant recipients</w:t>
            </w:r>
            <w:r w:rsidRPr="00E90C16">
              <w:rPr>
                <w:rFonts w:asciiTheme="minorHAnsi" w:hAnsiTheme="minorHAnsi" w:cstheme="minorHAnsi"/>
                <w:sz w:val="20"/>
              </w:rPr>
              <w:t xml:space="preserve"> or workers. Provide sufficient detail regarding the incident or accident, indicating immediate measures taken or that are planned to be taken to address it, and any information provided by any contractor and supervising entity, as appropriate. Subsequently, as per the Bank’s request, prepare a</w:t>
            </w:r>
            <w:r w:rsidR="006E55EC" w:rsidRPr="00E90C16">
              <w:rPr>
                <w:rFonts w:asciiTheme="minorHAnsi" w:hAnsiTheme="minorHAnsi" w:cstheme="minorHAnsi"/>
                <w:sz w:val="20"/>
              </w:rPr>
              <w:t xml:space="preserve"> </w:t>
            </w:r>
            <w:r w:rsidRPr="00E90C16">
              <w:rPr>
                <w:rFonts w:asciiTheme="minorHAnsi" w:hAnsiTheme="minorHAnsi" w:cstheme="minorHAnsi"/>
                <w:sz w:val="20"/>
              </w:rPr>
              <w:t xml:space="preserve">report on the incident or accident and propose any measures to prevent its recurrence. </w:t>
            </w:r>
          </w:p>
        </w:tc>
        <w:tc>
          <w:tcPr>
            <w:tcW w:w="3780" w:type="dxa"/>
            <w:tcBorders>
              <w:bottom w:val="single" w:sz="4" w:space="0" w:color="000000"/>
            </w:tcBorders>
          </w:tcPr>
          <w:p w14:paraId="446C0C5E" w14:textId="77777777" w:rsidR="000C206F" w:rsidRPr="00543E5E" w:rsidRDefault="00502173" w:rsidP="005D394E">
            <w:pPr>
              <w:keepLines/>
              <w:widowControl w:val="0"/>
              <w:rPr>
                <w:rFonts w:eastAsia="Times New Roman" w:cstheme="minorHAnsi"/>
                <w:bCs/>
                <w:sz w:val="20"/>
                <w:szCs w:val="20"/>
              </w:rPr>
            </w:pPr>
            <w:r w:rsidRPr="00543E5E">
              <w:rPr>
                <w:rFonts w:eastAsia="Times New Roman" w:cstheme="minorHAnsi"/>
                <w:bCs/>
                <w:sz w:val="20"/>
                <w:szCs w:val="20"/>
              </w:rPr>
              <w:t xml:space="preserve">Notify the Bank within 48 hours after </w:t>
            </w:r>
            <w:r w:rsidR="00B61C95" w:rsidRPr="00543E5E">
              <w:rPr>
                <w:rFonts w:eastAsia="Times New Roman" w:cstheme="minorHAnsi"/>
                <w:bCs/>
                <w:sz w:val="20"/>
                <w:szCs w:val="20"/>
              </w:rPr>
              <w:t>learning of</w:t>
            </w:r>
            <w:r w:rsidRPr="00543E5E">
              <w:rPr>
                <w:rFonts w:eastAsia="Times New Roman" w:cstheme="minorHAnsi"/>
                <w:bCs/>
                <w:sz w:val="20"/>
                <w:szCs w:val="20"/>
              </w:rPr>
              <w:t xml:space="preserve"> the incident or accident</w:t>
            </w:r>
            <w:r w:rsidR="000C206F" w:rsidRPr="00543E5E">
              <w:rPr>
                <w:rFonts w:eastAsia="Times New Roman" w:cstheme="minorHAnsi"/>
                <w:bCs/>
                <w:sz w:val="20"/>
                <w:szCs w:val="20"/>
              </w:rPr>
              <w:t>.</w:t>
            </w:r>
          </w:p>
          <w:p w14:paraId="6737E2C9" w14:textId="77777777" w:rsidR="000C206F" w:rsidRPr="00543E5E" w:rsidRDefault="000C206F" w:rsidP="005D394E">
            <w:pPr>
              <w:keepLines/>
              <w:widowControl w:val="0"/>
              <w:rPr>
                <w:rFonts w:eastAsia="Times New Roman" w:cstheme="minorHAnsi"/>
                <w:bCs/>
                <w:sz w:val="20"/>
                <w:szCs w:val="20"/>
              </w:rPr>
            </w:pPr>
          </w:p>
          <w:p w14:paraId="4077096F" w14:textId="3023240A" w:rsidR="00502173" w:rsidRPr="00E90C16" w:rsidRDefault="00502173" w:rsidP="005D394E">
            <w:pPr>
              <w:keepLines/>
              <w:widowControl w:val="0"/>
              <w:rPr>
                <w:rFonts w:cstheme="minorHAnsi"/>
                <w:i/>
                <w:sz w:val="20"/>
                <w:szCs w:val="20"/>
              </w:rPr>
            </w:pPr>
            <w:r w:rsidRPr="00543E5E">
              <w:rPr>
                <w:rFonts w:eastAsia="Times New Roman" w:cstheme="minorHAnsi"/>
                <w:bCs/>
                <w:sz w:val="20"/>
                <w:szCs w:val="20"/>
              </w:rPr>
              <w:t>A</w:t>
            </w:r>
            <w:r w:rsidR="006E55EC" w:rsidRPr="00543E5E">
              <w:rPr>
                <w:rFonts w:eastAsia="Times New Roman" w:cstheme="minorHAnsi"/>
                <w:bCs/>
                <w:sz w:val="20"/>
                <w:szCs w:val="20"/>
              </w:rPr>
              <w:t xml:space="preserve"> </w:t>
            </w:r>
            <w:r w:rsidRPr="00543E5E">
              <w:rPr>
                <w:rFonts w:eastAsia="Times New Roman" w:cstheme="minorHAnsi"/>
                <w:bCs/>
                <w:sz w:val="20"/>
                <w:szCs w:val="20"/>
              </w:rPr>
              <w:t>report would be provided within a timeframe acceptable to the Bank</w:t>
            </w:r>
            <w:r w:rsidR="006E55EC" w:rsidRPr="00543E5E">
              <w:rPr>
                <w:rFonts w:eastAsia="Times New Roman" w:cstheme="minorHAnsi"/>
                <w:bCs/>
                <w:sz w:val="20"/>
                <w:szCs w:val="20"/>
              </w:rPr>
              <w:t>, as requested</w:t>
            </w:r>
            <w:r w:rsidRPr="00E90C16">
              <w:rPr>
                <w:rFonts w:eastAsia="Times New Roman" w:cstheme="minorHAnsi"/>
                <w:bCs/>
                <w:i/>
                <w:sz w:val="20"/>
                <w:szCs w:val="20"/>
              </w:rPr>
              <w:t xml:space="preserve"> </w:t>
            </w:r>
          </w:p>
        </w:tc>
        <w:tc>
          <w:tcPr>
            <w:tcW w:w="3690" w:type="dxa"/>
            <w:tcBorders>
              <w:bottom w:val="single" w:sz="4" w:space="0" w:color="000000"/>
            </w:tcBorders>
          </w:tcPr>
          <w:p w14:paraId="31B1BE9E" w14:textId="763A8F7D" w:rsidR="00502173" w:rsidRPr="00E90C16" w:rsidRDefault="00293701" w:rsidP="005D394E">
            <w:pPr>
              <w:keepLines/>
              <w:widowControl w:val="0"/>
              <w:rPr>
                <w:rFonts w:cstheme="minorHAnsi"/>
                <w:sz w:val="20"/>
                <w:szCs w:val="20"/>
              </w:rPr>
            </w:pPr>
            <w:r w:rsidRPr="001C6FB1">
              <w:rPr>
                <w:rFonts w:cstheme="minorHAnsi"/>
              </w:rPr>
              <w:t>MAFWM</w:t>
            </w:r>
          </w:p>
        </w:tc>
      </w:tr>
      <w:tr w:rsidR="00502173" w:rsidRPr="00E90C16"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533BEBD3" w14:textId="77777777" w:rsidR="002A07CC" w:rsidRPr="00E90C16" w:rsidRDefault="002A07CC" w:rsidP="005D394E">
            <w:pPr>
              <w:keepLines/>
              <w:widowControl w:val="0"/>
              <w:rPr>
                <w:rFonts w:cstheme="minorHAnsi"/>
                <w:b/>
                <w:sz w:val="20"/>
                <w:szCs w:val="20"/>
              </w:rPr>
            </w:pPr>
          </w:p>
          <w:p w14:paraId="1B9C5400" w14:textId="2D37DD92" w:rsidR="00502173" w:rsidRPr="00E90C16" w:rsidRDefault="00502173" w:rsidP="005D394E">
            <w:pPr>
              <w:keepLines/>
              <w:widowControl w:val="0"/>
              <w:rPr>
                <w:rFonts w:cstheme="minorHAnsi"/>
                <w:sz w:val="20"/>
                <w:szCs w:val="20"/>
              </w:rPr>
            </w:pPr>
            <w:r w:rsidRPr="00E90C16">
              <w:rPr>
                <w:rFonts w:cstheme="minorHAnsi"/>
                <w:b/>
                <w:sz w:val="20"/>
                <w:szCs w:val="20"/>
              </w:rPr>
              <w:t>ESS 1:  ASSESSMENT AND MANAGEMENT OF ENVIRONMENTAL AND SOCIAL RISKS AND IMPACTS</w:t>
            </w:r>
          </w:p>
        </w:tc>
      </w:tr>
      <w:tr w:rsidR="00502173" w:rsidRPr="00E90C16" w14:paraId="53FD2164" w14:textId="77777777" w:rsidTr="00594521">
        <w:trPr>
          <w:cantSplit/>
          <w:trHeight w:val="20"/>
        </w:trPr>
        <w:tc>
          <w:tcPr>
            <w:tcW w:w="715" w:type="dxa"/>
            <w:tcBorders>
              <w:top w:val="single" w:sz="4" w:space="0" w:color="000000"/>
            </w:tcBorders>
          </w:tcPr>
          <w:p w14:paraId="0D527BFF" w14:textId="77777777" w:rsidR="00502173" w:rsidRPr="00E90C16" w:rsidRDefault="00502173" w:rsidP="005D394E">
            <w:pPr>
              <w:keepLines/>
              <w:widowControl w:val="0"/>
              <w:jc w:val="center"/>
              <w:rPr>
                <w:rFonts w:cstheme="minorHAnsi"/>
                <w:sz w:val="20"/>
                <w:szCs w:val="20"/>
              </w:rPr>
            </w:pPr>
            <w:r w:rsidRPr="00E90C16">
              <w:rPr>
                <w:rFonts w:cstheme="minorHAnsi"/>
                <w:sz w:val="20"/>
                <w:szCs w:val="20"/>
              </w:rPr>
              <w:t>1.1</w:t>
            </w:r>
          </w:p>
        </w:tc>
        <w:tc>
          <w:tcPr>
            <w:tcW w:w="6120" w:type="dxa"/>
            <w:tcBorders>
              <w:top w:val="single" w:sz="4" w:space="0" w:color="000000"/>
            </w:tcBorders>
          </w:tcPr>
          <w:p w14:paraId="30D87238" w14:textId="41046DD1" w:rsidR="00502173" w:rsidRPr="00E90C16" w:rsidRDefault="00502173" w:rsidP="005D394E">
            <w:pPr>
              <w:keepLines/>
              <w:widowControl w:val="0"/>
              <w:rPr>
                <w:rFonts w:cstheme="minorHAnsi"/>
                <w:sz w:val="20"/>
                <w:szCs w:val="20"/>
              </w:rPr>
            </w:pPr>
            <w:r w:rsidRPr="00E90C16">
              <w:rPr>
                <w:rFonts w:cstheme="minorHAnsi"/>
                <w:b/>
                <w:color w:val="5B9BD5" w:themeColor="accent5"/>
                <w:sz w:val="20"/>
                <w:szCs w:val="20"/>
              </w:rPr>
              <w:t>ORGANIZATIONAL STRUCTURE</w:t>
            </w:r>
          </w:p>
          <w:p w14:paraId="4E4F24B0" w14:textId="032A6055" w:rsidR="007D3D44" w:rsidRPr="00543E5E" w:rsidRDefault="00502173" w:rsidP="007D3D44">
            <w:pPr>
              <w:rPr>
                <w:rFonts w:cstheme="minorHAnsi"/>
                <w:sz w:val="20"/>
                <w:szCs w:val="20"/>
              </w:rPr>
            </w:pPr>
            <w:r w:rsidRPr="00E90C16">
              <w:rPr>
                <w:rFonts w:cstheme="minorHAnsi"/>
                <w:sz w:val="20"/>
                <w:szCs w:val="20"/>
              </w:rPr>
              <w:t>Establish and maintain an organizational structure with qualified staff and resources to support management of E&amp;S risks</w:t>
            </w:r>
            <w:r w:rsidR="001F5F4A">
              <w:rPr>
                <w:rFonts w:cstheme="minorHAnsi"/>
                <w:sz w:val="20"/>
                <w:szCs w:val="20"/>
              </w:rPr>
              <w:t>, i</w:t>
            </w:r>
            <w:r w:rsidR="007D3D44" w:rsidRPr="00543E5E">
              <w:rPr>
                <w:rFonts w:cstheme="minorHAnsi"/>
                <w:sz w:val="20"/>
                <w:szCs w:val="20"/>
              </w:rPr>
              <w:t>ncluding</w:t>
            </w:r>
            <w:r w:rsidR="00CE2744" w:rsidRPr="00E90C16">
              <w:rPr>
                <w:rFonts w:cstheme="minorHAnsi"/>
                <w:sz w:val="20"/>
                <w:szCs w:val="20"/>
              </w:rPr>
              <w:t xml:space="preserve"> </w:t>
            </w:r>
            <w:r w:rsidR="007D3D44" w:rsidRPr="00543E5E">
              <w:rPr>
                <w:rFonts w:cstheme="minorHAnsi"/>
                <w:sz w:val="20"/>
                <w:szCs w:val="20"/>
              </w:rPr>
              <w:t>environment and social specialist responsible for ensuring full compliance with the ESF and relevant instruments</w:t>
            </w:r>
            <w:r w:rsidR="00565CA4" w:rsidRPr="00E90C16">
              <w:rPr>
                <w:rFonts w:cstheme="minorHAnsi"/>
                <w:sz w:val="20"/>
                <w:szCs w:val="20"/>
              </w:rPr>
              <w:t xml:space="preserve">. </w:t>
            </w:r>
          </w:p>
          <w:p w14:paraId="2074A50F" w14:textId="6D12507E" w:rsidR="00B94B5D" w:rsidRPr="00E90C16" w:rsidRDefault="00B94B5D" w:rsidP="002D4AA2">
            <w:pPr>
              <w:keepLines/>
              <w:widowControl w:val="0"/>
              <w:rPr>
                <w:rFonts w:cstheme="minorHAnsi"/>
                <w:sz w:val="20"/>
                <w:szCs w:val="20"/>
              </w:rPr>
            </w:pPr>
          </w:p>
          <w:p w14:paraId="72A6D6D9" w14:textId="058D4463" w:rsidR="00662B2E" w:rsidRPr="00E90C16" w:rsidRDefault="00662B2E" w:rsidP="002D4AA2">
            <w:pPr>
              <w:keepLines/>
              <w:widowControl w:val="0"/>
              <w:rPr>
                <w:rFonts w:cstheme="minorHAnsi"/>
                <w:sz w:val="20"/>
                <w:szCs w:val="20"/>
              </w:rPr>
            </w:pPr>
            <w:r w:rsidRPr="00543E5E">
              <w:rPr>
                <w:rFonts w:cstheme="minorHAnsi"/>
                <w:sz w:val="20"/>
                <w:szCs w:val="20"/>
              </w:rPr>
              <w:t>Maintain as necessary throughout Project implementation.</w:t>
            </w:r>
          </w:p>
          <w:p w14:paraId="09F2428F" w14:textId="7F7494FB" w:rsidR="00BF154C" w:rsidRPr="00543E5E" w:rsidRDefault="00BF154C" w:rsidP="00BF154C">
            <w:pPr>
              <w:keepLines/>
              <w:widowControl w:val="0"/>
              <w:rPr>
                <w:rFonts w:cstheme="minorHAnsi"/>
                <w:sz w:val="20"/>
                <w:szCs w:val="20"/>
              </w:rPr>
            </w:pPr>
          </w:p>
        </w:tc>
        <w:tc>
          <w:tcPr>
            <w:tcW w:w="3780" w:type="dxa"/>
            <w:tcBorders>
              <w:top w:val="single" w:sz="4" w:space="0" w:color="000000"/>
            </w:tcBorders>
          </w:tcPr>
          <w:p w14:paraId="21A0F09C" w14:textId="5E81A46B" w:rsidR="00607AFB" w:rsidRPr="00E90C16" w:rsidRDefault="00AA349F" w:rsidP="005D394E">
            <w:pPr>
              <w:keepLines/>
              <w:widowControl w:val="0"/>
              <w:rPr>
                <w:rFonts w:eastAsia="Times New Roman" w:cstheme="minorHAnsi"/>
                <w:bCs/>
                <w:i/>
                <w:sz w:val="20"/>
                <w:szCs w:val="20"/>
              </w:rPr>
            </w:pPr>
            <w:r>
              <w:rPr>
                <w:rFonts w:eastAsia="Times New Roman" w:cstheme="minorHAnsi"/>
                <w:bCs/>
                <w:sz w:val="20"/>
                <w:szCs w:val="20"/>
              </w:rPr>
              <w:t>Two months after World Bank Board approval</w:t>
            </w:r>
          </w:p>
          <w:p w14:paraId="1C4D44FC" w14:textId="77777777" w:rsidR="00607AFB" w:rsidRPr="00543E5E" w:rsidRDefault="00607AFB" w:rsidP="005D394E">
            <w:pPr>
              <w:keepLines/>
              <w:widowControl w:val="0"/>
              <w:rPr>
                <w:sz w:val="20"/>
                <w:szCs w:val="20"/>
              </w:rPr>
            </w:pPr>
          </w:p>
          <w:p w14:paraId="7D860D56" w14:textId="77777777" w:rsidR="00607AFB" w:rsidRPr="00543E5E" w:rsidRDefault="00607AFB" w:rsidP="005D394E">
            <w:pPr>
              <w:keepLines/>
              <w:widowControl w:val="0"/>
              <w:rPr>
                <w:sz w:val="20"/>
                <w:szCs w:val="20"/>
              </w:rPr>
            </w:pPr>
          </w:p>
          <w:p w14:paraId="1F54ECF9" w14:textId="77777777" w:rsidR="00D63C5B" w:rsidRDefault="00D63C5B" w:rsidP="005D394E">
            <w:pPr>
              <w:keepLines/>
              <w:widowControl w:val="0"/>
              <w:rPr>
                <w:sz w:val="20"/>
                <w:szCs w:val="20"/>
              </w:rPr>
            </w:pPr>
          </w:p>
          <w:p w14:paraId="2DF01D26" w14:textId="403DD659" w:rsidR="00502173" w:rsidRPr="00E90C16" w:rsidRDefault="00607AFB" w:rsidP="005D394E">
            <w:pPr>
              <w:keepLines/>
              <w:widowControl w:val="0"/>
              <w:rPr>
                <w:rFonts w:cstheme="minorHAnsi"/>
                <w:i/>
                <w:sz w:val="20"/>
                <w:szCs w:val="20"/>
              </w:rPr>
            </w:pPr>
            <w:r w:rsidRPr="00543E5E">
              <w:rPr>
                <w:sz w:val="20"/>
                <w:szCs w:val="20"/>
              </w:rPr>
              <w:t>On-going throughout project implementation</w:t>
            </w:r>
          </w:p>
        </w:tc>
        <w:tc>
          <w:tcPr>
            <w:tcW w:w="3690" w:type="dxa"/>
            <w:tcBorders>
              <w:top w:val="single" w:sz="4" w:space="0" w:color="000000"/>
            </w:tcBorders>
          </w:tcPr>
          <w:p w14:paraId="6F9B134B" w14:textId="0F3AA62F" w:rsidR="00502173" w:rsidRPr="00E90C16" w:rsidRDefault="00AA349F" w:rsidP="005D394E">
            <w:pPr>
              <w:keepLines/>
              <w:widowControl w:val="0"/>
              <w:rPr>
                <w:rFonts w:cstheme="minorHAnsi"/>
                <w:sz w:val="20"/>
                <w:szCs w:val="20"/>
              </w:rPr>
            </w:pPr>
            <w:r w:rsidRPr="001C6FB1">
              <w:rPr>
                <w:rFonts w:cstheme="minorHAnsi"/>
              </w:rPr>
              <w:t>MAFWM</w:t>
            </w:r>
          </w:p>
        </w:tc>
      </w:tr>
      <w:tr w:rsidR="00502173" w:rsidRPr="00E90C16" w14:paraId="69D2CFD5" w14:textId="77777777" w:rsidTr="00594521">
        <w:trPr>
          <w:cantSplit/>
          <w:trHeight w:val="20"/>
        </w:trPr>
        <w:tc>
          <w:tcPr>
            <w:tcW w:w="715" w:type="dxa"/>
          </w:tcPr>
          <w:p w14:paraId="30F6E72D" w14:textId="77777777" w:rsidR="00502173" w:rsidRPr="00E90C16" w:rsidRDefault="00502173" w:rsidP="005D394E">
            <w:pPr>
              <w:keepLines/>
              <w:widowControl w:val="0"/>
              <w:jc w:val="center"/>
              <w:rPr>
                <w:rFonts w:cstheme="minorHAnsi"/>
                <w:sz w:val="20"/>
                <w:szCs w:val="20"/>
              </w:rPr>
            </w:pPr>
            <w:r w:rsidRPr="00E90C16">
              <w:rPr>
                <w:rFonts w:cstheme="minorHAnsi"/>
                <w:sz w:val="20"/>
                <w:szCs w:val="20"/>
              </w:rPr>
              <w:t>1.2</w:t>
            </w:r>
          </w:p>
        </w:tc>
        <w:tc>
          <w:tcPr>
            <w:tcW w:w="6120" w:type="dxa"/>
          </w:tcPr>
          <w:p w14:paraId="7FDAA1F5" w14:textId="77777777" w:rsidR="00502173" w:rsidRPr="00E90C16" w:rsidRDefault="00502173" w:rsidP="005D394E">
            <w:pPr>
              <w:keepLines/>
              <w:widowControl w:val="0"/>
              <w:rPr>
                <w:rFonts w:cstheme="minorHAnsi"/>
                <w:b/>
                <w:color w:val="5B9BD5" w:themeColor="accent5"/>
                <w:sz w:val="20"/>
                <w:szCs w:val="20"/>
              </w:rPr>
            </w:pPr>
            <w:r w:rsidRPr="00E90C16">
              <w:rPr>
                <w:rFonts w:cstheme="minorHAnsi"/>
                <w:b/>
                <w:color w:val="5B9BD5" w:themeColor="accent5"/>
                <w:sz w:val="20"/>
                <w:szCs w:val="20"/>
              </w:rPr>
              <w:t>ENVIRONMENTAL AND SOCIAL ASSESSMENT</w:t>
            </w:r>
          </w:p>
          <w:p w14:paraId="0B0F67C4" w14:textId="5C99FC6E" w:rsidR="00502173" w:rsidRPr="00E90C16" w:rsidRDefault="00D86423" w:rsidP="00D86423">
            <w:pPr>
              <w:keepLines/>
              <w:widowControl w:val="0"/>
              <w:rPr>
                <w:rFonts w:cstheme="minorHAnsi"/>
                <w:sz w:val="20"/>
                <w:szCs w:val="20"/>
              </w:rPr>
            </w:pPr>
            <w:r w:rsidRPr="00543E5E">
              <w:rPr>
                <w:rFonts w:cstheme="minorHAnsi"/>
                <w:sz w:val="20"/>
                <w:szCs w:val="20"/>
              </w:rPr>
              <w:t>Prepare an ESMF to identify and assess the environmental and social risks and impacts of the Project and appropriate mitigation measures.</w:t>
            </w:r>
          </w:p>
        </w:tc>
        <w:tc>
          <w:tcPr>
            <w:tcW w:w="3780" w:type="dxa"/>
          </w:tcPr>
          <w:p w14:paraId="40EC74A7" w14:textId="4C6DD00A" w:rsidR="009C62FE" w:rsidRPr="00E90C16" w:rsidRDefault="003A5962" w:rsidP="005D394E">
            <w:pPr>
              <w:keepLines/>
              <w:widowControl w:val="0"/>
              <w:rPr>
                <w:rFonts w:cstheme="minorHAnsi"/>
                <w:i/>
                <w:sz w:val="20"/>
                <w:szCs w:val="20"/>
              </w:rPr>
            </w:pPr>
            <w:r w:rsidRPr="0013233C">
              <w:rPr>
                <w:rFonts w:cstheme="minorHAnsi"/>
                <w:iCs/>
                <w:sz w:val="20"/>
                <w:szCs w:val="20"/>
              </w:rPr>
              <w:t>ESMF already prepared.</w:t>
            </w:r>
          </w:p>
          <w:p w14:paraId="2F08F9EB" w14:textId="77777777" w:rsidR="009C62FE" w:rsidRPr="00E90C16" w:rsidRDefault="009C62FE" w:rsidP="005D394E">
            <w:pPr>
              <w:keepLines/>
              <w:widowControl w:val="0"/>
              <w:rPr>
                <w:rFonts w:cstheme="minorHAnsi"/>
                <w:i/>
                <w:sz w:val="20"/>
                <w:szCs w:val="20"/>
              </w:rPr>
            </w:pPr>
          </w:p>
          <w:p w14:paraId="07954760" w14:textId="77777777" w:rsidR="009C62FE" w:rsidRPr="00E90C16" w:rsidRDefault="009C62FE" w:rsidP="005D394E">
            <w:pPr>
              <w:keepLines/>
              <w:widowControl w:val="0"/>
              <w:rPr>
                <w:rFonts w:cstheme="minorHAnsi"/>
                <w:i/>
                <w:sz w:val="20"/>
                <w:szCs w:val="20"/>
              </w:rPr>
            </w:pPr>
          </w:p>
          <w:p w14:paraId="690C8971" w14:textId="23999237" w:rsidR="009C62FE" w:rsidRPr="00E90C16" w:rsidRDefault="009C62FE" w:rsidP="005D394E">
            <w:pPr>
              <w:keepLines/>
              <w:widowControl w:val="0"/>
              <w:rPr>
                <w:rFonts w:cstheme="minorHAnsi"/>
                <w:i/>
                <w:sz w:val="20"/>
                <w:szCs w:val="20"/>
              </w:rPr>
            </w:pPr>
          </w:p>
        </w:tc>
        <w:tc>
          <w:tcPr>
            <w:tcW w:w="3690" w:type="dxa"/>
          </w:tcPr>
          <w:p w14:paraId="21019995" w14:textId="30E987AF" w:rsidR="00502173" w:rsidRPr="00E90C16" w:rsidRDefault="00D63C5B" w:rsidP="005D394E">
            <w:pPr>
              <w:keepLines/>
              <w:widowControl w:val="0"/>
              <w:rPr>
                <w:rFonts w:cstheme="minorHAnsi"/>
                <w:sz w:val="20"/>
                <w:szCs w:val="20"/>
              </w:rPr>
            </w:pPr>
            <w:r w:rsidRPr="001C6FB1">
              <w:rPr>
                <w:rFonts w:cstheme="minorHAnsi"/>
              </w:rPr>
              <w:t>MAFWM</w:t>
            </w:r>
          </w:p>
        </w:tc>
      </w:tr>
      <w:tr w:rsidR="00D86423" w:rsidRPr="00E90C16" w14:paraId="111168E7" w14:textId="77777777" w:rsidTr="00594521">
        <w:trPr>
          <w:cantSplit/>
          <w:trHeight w:val="20"/>
        </w:trPr>
        <w:tc>
          <w:tcPr>
            <w:tcW w:w="715" w:type="dxa"/>
          </w:tcPr>
          <w:p w14:paraId="2A6D475B" w14:textId="2844EB45" w:rsidR="00D86423" w:rsidRPr="00E90C16" w:rsidRDefault="00D86423" w:rsidP="005D394E">
            <w:pPr>
              <w:keepLines/>
              <w:widowControl w:val="0"/>
              <w:jc w:val="center"/>
              <w:rPr>
                <w:rFonts w:cstheme="minorHAnsi"/>
                <w:sz w:val="20"/>
                <w:szCs w:val="20"/>
              </w:rPr>
            </w:pPr>
            <w:r>
              <w:rPr>
                <w:rFonts w:cstheme="minorHAnsi"/>
                <w:sz w:val="20"/>
                <w:szCs w:val="20"/>
              </w:rPr>
              <w:t>1.3</w:t>
            </w:r>
          </w:p>
        </w:tc>
        <w:tc>
          <w:tcPr>
            <w:tcW w:w="6120" w:type="dxa"/>
          </w:tcPr>
          <w:p w14:paraId="33D9D568" w14:textId="24177159" w:rsidR="00D86423" w:rsidRDefault="00D86423" w:rsidP="00D86423">
            <w:pPr>
              <w:keepLines/>
              <w:widowControl w:val="0"/>
              <w:rPr>
                <w:rFonts w:cstheme="minorHAnsi"/>
                <w:b/>
                <w:color w:val="5B9BD5" w:themeColor="accent5"/>
                <w:sz w:val="20"/>
                <w:szCs w:val="20"/>
              </w:rPr>
            </w:pPr>
            <w:r w:rsidRPr="00E90C16">
              <w:rPr>
                <w:rFonts w:cstheme="minorHAnsi"/>
                <w:b/>
                <w:color w:val="5B9BD5" w:themeColor="accent5"/>
                <w:sz w:val="20"/>
                <w:szCs w:val="20"/>
              </w:rPr>
              <w:t xml:space="preserve">ENVIRONMENTAL AND SOCIAL </w:t>
            </w:r>
            <w:r>
              <w:rPr>
                <w:rFonts w:cstheme="minorHAnsi"/>
                <w:b/>
                <w:color w:val="5B9BD5" w:themeColor="accent5"/>
                <w:sz w:val="20"/>
                <w:szCs w:val="20"/>
              </w:rPr>
              <w:t>MANAGEMENT PLANS</w:t>
            </w:r>
          </w:p>
          <w:p w14:paraId="1D8C9E80" w14:textId="3C33235E" w:rsidR="00D86423" w:rsidRPr="00E90C16" w:rsidRDefault="00D86423" w:rsidP="00D86423">
            <w:pPr>
              <w:keepLines/>
              <w:widowControl w:val="0"/>
              <w:rPr>
                <w:rFonts w:cstheme="minorHAnsi"/>
                <w:sz w:val="20"/>
                <w:szCs w:val="20"/>
              </w:rPr>
            </w:pPr>
            <w:r w:rsidRPr="00543E5E">
              <w:rPr>
                <w:rFonts w:cstheme="minorHAnsi"/>
                <w:sz w:val="20"/>
                <w:szCs w:val="20"/>
              </w:rPr>
              <w:t>Prepare</w:t>
            </w:r>
            <w:r>
              <w:rPr>
                <w:rFonts w:cstheme="minorHAnsi"/>
                <w:sz w:val="20"/>
                <w:szCs w:val="20"/>
              </w:rPr>
              <w:t xml:space="preserve"> ESMPs to mitigate any identified environment and social risks, based on the ESMF screening process.</w:t>
            </w:r>
          </w:p>
          <w:p w14:paraId="32641ADB" w14:textId="77777777" w:rsidR="00D86423" w:rsidRPr="00E90C16" w:rsidRDefault="00D86423" w:rsidP="00D86423">
            <w:pPr>
              <w:keepLines/>
              <w:widowControl w:val="0"/>
              <w:rPr>
                <w:rFonts w:cstheme="minorHAnsi"/>
                <w:b/>
                <w:color w:val="5B9BD5" w:themeColor="accent5"/>
                <w:sz w:val="20"/>
                <w:szCs w:val="20"/>
              </w:rPr>
            </w:pPr>
          </w:p>
          <w:p w14:paraId="3D573265" w14:textId="77777777" w:rsidR="00D86423" w:rsidRPr="00E90C16" w:rsidRDefault="00D86423" w:rsidP="005D394E">
            <w:pPr>
              <w:keepLines/>
              <w:widowControl w:val="0"/>
              <w:rPr>
                <w:rFonts w:cstheme="minorHAnsi"/>
                <w:b/>
                <w:color w:val="5B9BD5" w:themeColor="accent5"/>
                <w:sz w:val="20"/>
                <w:szCs w:val="20"/>
              </w:rPr>
            </w:pPr>
          </w:p>
        </w:tc>
        <w:tc>
          <w:tcPr>
            <w:tcW w:w="3780" w:type="dxa"/>
          </w:tcPr>
          <w:p w14:paraId="55351958" w14:textId="322848B0" w:rsidR="00D86423" w:rsidRPr="00543E5E" w:rsidRDefault="00D86423" w:rsidP="005D394E">
            <w:pPr>
              <w:keepLines/>
              <w:widowControl w:val="0"/>
              <w:rPr>
                <w:sz w:val="20"/>
                <w:szCs w:val="20"/>
              </w:rPr>
            </w:pPr>
            <w:r>
              <w:rPr>
                <w:sz w:val="20"/>
                <w:szCs w:val="20"/>
              </w:rPr>
              <w:t>Through the life of the ongoing sub-project relevant to at ESMP and completion of all mitigation activities.</w:t>
            </w:r>
          </w:p>
        </w:tc>
        <w:tc>
          <w:tcPr>
            <w:tcW w:w="3690" w:type="dxa"/>
          </w:tcPr>
          <w:p w14:paraId="711A17D6" w14:textId="240DBDB5" w:rsidR="00D86423" w:rsidRPr="001C6FB1" w:rsidRDefault="00D86423" w:rsidP="005D394E">
            <w:pPr>
              <w:keepLines/>
              <w:widowControl w:val="0"/>
              <w:rPr>
                <w:rFonts w:cstheme="minorHAnsi"/>
              </w:rPr>
            </w:pPr>
            <w:r>
              <w:rPr>
                <w:rFonts w:cstheme="minorHAnsi"/>
              </w:rPr>
              <w:t>MAFWM</w:t>
            </w:r>
          </w:p>
        </w:tc>
      </w:tr>
      <w:tr w:rsidR="00502173" w:rsidRPr="00E90C16" w14:paraId="3D1122BF" w14:textId="77777777" w:rsidTr="00594521">
        <w:trPr>
          <w:cantSplit/>
          <w:trHeight w:val="20"/>
        </w:trPr>
        <w:tc>
          <w:tcPr>
            <w:tcW w:w="715" w:type="dxa"/>
          </w:tcPr>
          <w:p w14:paraId="577C00AF" w14:textId="5D7981E8" w:rsidR="00502173" w:rsidRPr="00E90C16" w:rsidRDefault="00502173" w:rsidP="005D394E">
            <w:pPr>
              <w:keepLines/>
              <w:widowControl w:val="0"/>
              <w:jc w:val="center"/>
              <w:rPr>
                <w:rFonts w:cstheme="minorHAnsi"/>
                <w:sz w:val="20"/>
                <w:szCs w:val="20"/>
              </w:rPr>
            </w:pPr>
            <w:r w:rsidRPr="00E90C16">
              <w:rPr>
                <w:rFonts w:cstheme="minorHAnsi"/>
                <w:sz w:val="20"/>
                <w:szCs w:val="20"/>
              </w:rPr>
              <w:lastRenderedPageBreak/>
              <w:t>1.</w:t>
            </w:r>
            <w:r w:rsidR="005348E2">
              <w:rPr>
                <w:rFonts w:cstheme="minorHAnsi"/>
                <w:sz w:val="20"/>
                <w:szCs w:val="20"/>
              </w:rPr>
              <w:t>4</w:t>
            </w:r>
          </w:p>
        </w:tc>
        <w:tc>
          <w:tcPr>
            <w:tcW w:w="6120" w:type="dxa"/>
          </w:tcPr>
          <w:p w14:paraId="5DE69419" w14:textId="6189A9D8" w:rsidR="00502173" w:rsidRPr="00E90C16" w:rsidRDefault="00502173" w:rsidP="005D394E">
            <w:pPr>
              <w:keepLines/>
              <w:widowControl w:val="0"/>
              <w:rPr>
                <w:rFonts w:cstheme="minorHAnsi"/>
                <w:sz w:val="20"/>
                <w:szCs w:val="20"/>
              </w:rPr>
            </w:pPr>
            <w:r w:rsidRPr="00E90C16">
              <w:rPr>
                <w:rFonts w:cstheme="minorHAnsi"/>
                <w:b/>
                <w:color w:val="5B9BD5" w:themeColor="accent5"/>
                <w:sz w:val="20"/>
                <w:szCs w:val="20"/>
              </w:rPr>
              <w:t>MANAGEMENT TOOLS AND INSTRUMENTS</w:t>
            </w:r>
            <w:r w:rsidRPr="00E90C16">
              <w:rPr>
                <w:rFonts w:cstheme="minorHAnsi"/>
                <w:color w:val="5B9BD5" w:themeColor="accent5"/>
                <w:sz w:val="20"/>
                <w:szCs w:val="20"/>
              </w:rPr>
              <w:t xml:space="preserve"> </w:t>
            </w:r>
          </w:p>
          <w:p w14:paraId="7D6E0B58" w14:textId="3E84F467" w:rsidR="00502173" w:rsidRPr="00E90C16" w:rsidRDefault="00D5750B" w:rsidP="005D394E">
            <w:pPr>
              <w:keepLines/>
              <w:widowControl w:val="0"/>
              <w:rPr>
                <w:rFonts w:cstheme="minorHAnsi"/>
                <w:sz w:val="20"/>
                <w:szCs w:val="20"/>
              </w:rPr>
            </w:pPr>
            <w:r w:rsidRPr="00E90C16">
              <w:rPr>
                <w:rFonts w:cstheme="minorHAnsi"/>
                <w:sz w:val="20"/>
                <w:szCs w:val="20"/>
              </w:rPr>
              <w:t>S</w:t>
            </w:r>
            <w:r w:rsidR="00502173" w:rsidRPr="00E90C16">
              <w:rPr>
                <w:rFonts w:cstheme="minorHAnsi"/>
                <w:sz w:val="20"/>
                <w:szCs w:val="20"/>
              </w:rPr>
              <w:t xml:space="preserve">creen any proposed subproject in accordance with the Environmental and Social Management Framework (ESMF) prepared for the Project, and, thereafter, </w:t>
            </w:r>
            <w:r w:rsidR="004E68EF" w:rsidRPr="00E90C16">
              <w:rPr>
                <w:rFonts w:cstheme="minorHAnsi"/>
                <w:sz w:val="20"/>
                <w:szCs w:val="20"/>
              </w:rPr>
              <w:t xml:space="preserve">draft, adopt, </w:t>
            </w:r>
            <w:r w:rsidR="00502173" w:rsidRPr="00E90C16">
              <w:rPr>
                <w:rFonts w:cstheme="minorHAnsi"/>
                <w:sz w:val="20"/>
                <w:szCs w:val="20"/>
              </w:rPr>
              <w:t>and implement the subproject Environmental and Social Management Plan (ESMP), as required, in a manner acceptable to the Bank.</w:t>
            </w:r>
          </w:p>
          <w:p w14:paraId="43F7AB6C" w14:textId="77777777" w:rsidR="00F002FC" w:rsidRPr="00E90C16" w:rsidRDefault="00F002FC" w:rsidP="005D394E">
            <w:pPr>
              <w:keepLines/>
              <w:widowControl w:val="0"/>
              <w:rPr>
                <w:rFonts w:cstheme="minorHAnsi"/>
                <w:sz w:val="20"/>
                <w:szCs w:val="20"/>
              </w:rPr>
            </w:pPr>
          </w:p>
          <w:p w14:paraId="0CB80B56" w14:textId="77777777" w:rsidR="00F002FC" w:rsidRPr="00E90C16" w:rsidRDefault="00F002FC" w:rsidP="005D394E">
            <w:pPr>
              <w:keepLines/>
              <w:widowControl w:val="0"/>
              <w:rPr>
                <w:rFonts w:cstheme="minorHAnsi"/>
                <w:sz w:val="20"/>
                <w:szCs w:val="20"/>
              </w:rPr>
            </w:pPr>
          </w:p>
          <w:p w14:paraId="5021137B" w14:textId="77777777" w:rsidR="00F002FC" w:rsidRPr="00E90C16" w:rsidRDefault="00F002FC" w:rsidP="005D394E">
            <w:pPr>
              <w:keepLines/>
              <w:widowControl w:val="0"/>
              <w:rPr>
                <w:rFonts w:cstheme="minorHAnsi"/>
                <w:sz w:val="20"/>
                <w:szCs w:val="20"/>
              </w:rPr>
            </w:pPr>
          </w:p>
          <w:p w14:paraId="1F91124C" w14:textId="77777777" w:rsidR="00F002FC" w:rsidRPr="00E90C16" w:rsidRDefault="00F002FC" w:rsidP="005D394E">
            <w:pPr>
              <w:keepLines/>
              <w:widowControl w:val="0"/>
              <w:rPr>
                <w:rFonts w:cstheme="minorHAnsi"/>
                <w:sz w:val="20"/>
                <w:szCs w:val="20"/>
              </w:rPr>
            </w:pPr>
          </w:p>
          <w:p w14:paraId="5BA2F92D" w14:textId="77777777" w:rsidR="001F5F4A" w:rsidRDefault="001F5F4A" w:rsidP="005D394E">
            <w:pPr>
              <w:keepLines/>
              <w:widowControl w:val="0"/>
              <w:rPr>
                <w:rFonts w:cstheme="minorHAnsi"/>
                <w:sz w:val="20"/>
                <w:szCs w:val="20"/>
              </w:rPr>
            </w:pPr>
          </w:p>
          <w:p w14:paraId="7018E4E5" w14:textId="0339CE10" w:rsidR="00F002FC" w:rsidRPr="00E90C16" w:rsidRDefault="00F002FC" w:rsidP="005D394E">
            <w:pPr>
              <w:keepLines/>
              <w:widowControl w:val="0"/>
              <w:rPr>
                <w:rFonts w:cstheme="minorHAnsi"/>
                <w:sz w:val="20"/>
                <w:szCs w:val="20"/>
              </w:rPr>
            </w:pPr>
            <w:r w:rsidRPr="00543E5E">
              <w:rPr>
                <w:rFonts w:cstheme="minorHAnsi"/>
                <w:sz w:val="20"/>
                <w:szCs w:val="20"/>
              </w:rPr>
              <w:t xml:space="preserve">Develop and implement procedures for managing </w:t>
            </w:r>
            <w:r w:rsidR="008A2F2F" w:rsidRPr="00E90C16">
              <w:rPr>
                <w:rFonts w:cstheme="minorHAnsi"/>
                <w:sz w:val="20"/>
                <w:szCs w:val="20"/>
              </w:rPr>
              <w:t xml:space="preserve">service providers </w:t>
            </w:r>
            <w:r w:rsidR="00A82DF1" w:rsidRPr="00E90C16">
              <w:rPr>
                <w:rFonts w:cstheme="minorHAnsi"/>
                <w:sz w:val="20"/>
                <w:szCs w:val="20"/>
              </w:rPr>
              <w:t>(</w:t>
            </w:r>
            <w:r w:rsidR="008A2F2F" w:rsidRPr="00E90C16">
              <w:rPr>
                <w:rFonts w:cstheme="minorHAnsi"/>
                <w:sz w:val="20"/>
                <w:szCs w:val="20"/>
              </w:rPr>
              <w:t>Labor Management Procedures</w:t>
            </w:r>
            <w:r w:rsidR="00A82DF1" w:rsidRPr="00E90C16">
              <w:rPr>
                <w:rFonts w:cstheme="minorHAnsi"/>
                <w:sz w:val="20"/>
                <w:szCs w:val="20"/>
              </w:rPr>
              <w:t>)</w:t>
            </w:r>
            <w:r w:rsidR="008A2F2F" w:rsidRPr="00E90C16">
              <w:rPr>
                <w:rFonts w:cstheme="minorHAnsi"/>
                <w:sz w:val="20"/>
                <w:szCs w:val="20"/>
              </w:rPr>
              <w:t xml:space="preserve">. </w:t>
            </w:r>
          </w:p>
          <w:p w14:paraId="7EE6FFD1" w14:textId="77777777" w:rsidR="00935B00" w:rsidRPr="00E90C16" w:rsidRDefault="00935B00" w:rsidP="005D394E">
            <w:pPr>
              <w:keepLines/>
              <w:widowControl w:val="0"/>
              <w:rPr>
                <w:rFonts w:cstheme="minorHAnsi"/>
                <w:sz w:val="20"/>
                <w:szCs w:val="20"/>
              </w:rPr>
            </w:pPr>
          </w:p>
          <w:p w14:paraId="7BE5A63B" w14:textId="77777777" w:rsidR="00935B00" w:rsidRPr="00E90C16" w:rsidRDefault="00935B00" w:rsidP="005D394E">
            <w:pPr>
              <w:keepLines/>
              <w:widowControl w:val="0"/>
              <w:rPr>
                <w:rFonts w:cstheme="minorHAnsi"/>
                <w:sz w:val="20"/>
                <w:szCs w:val="20"/>
              </w:rPr>
            </w:pPr>
          </w:p>
          <w:p w14:paraId="37A6F557" w14:textId="77777777" w:rsidR="00935B00" w:rsidRPr="00E90C16" w:rsidRDefault="00935B00" w:rsidP="005D394E">
            <w:pPr>
              <w:keepLines/>
              <w:widowControl w:val="0"/>
              <w:rPr>
                <w:rFonts w:cstheme="minorHAnsi"/>
                <w:sz w:val="20"/>
                <w:szCs w:val="20"/>
              </w:rPr>
            </w:pPr>
          </w:p>
          <w:p w14:paraId="105C3B9C" w14:textId="1140DB1F" w:rsidR="00935B00" w:rsidRPr="00E90C16" w:rsidRDefault="002B2EE1" w:rsidP="005D394E">
            <w:pPr>
              <w:keepLines/>
              <w:widowControl w:val="0"/>
              <w:rPr>
                <w:rFonts w:cstheme="minorHAnsi"/>
                <w:sz w:val="20"/>
                <w:szCs w:val="20"/>
              </w:rPr>
            </w:pPr>
            <w:r w:rsidRPr="00543E5E">
              <w:rPr>
                <w:rFonts w:cstheme="minorHAnsi"/>
                <w:sz w:val="20"/>
                <w:szCs w:val="20"/>
              </w:rPr>
              <w:t xml:space="preserve">Develop and implement Stakeholder Engagement Plan (SEP). </w:t>
            </w:r>
          </w:p>
        </w:tc>
        <w:tc>
          <w:tcPr>
            <w:tcW w:w="3780" w:type="dxa"/>
          </w:tcPr>
          <w:p w14:paraId="7A06B188" w14:textId="4C54BAC5" w:rsidR="00502173" w:rsidRDefault="00063497" w:rsidP="005D394E">
            <w:pPr>
              <w:keepLines/>
              <w:widowControl w:val="0"/>
              <w:rPr>
                <w:sz w:val="20"/>
                <w:szCs w:val="20"/>
              </w:rPr>
            </w:pPr>
            <w:r w:rsidRPr="001F5F4A">
              <w:rPr>
                <w:sz w:val="20"/>
                <w:szCs w:val="20"/>
              </w:rPr>
              <w:t xml:space="preserve">Preparation of each ESMP will be mandated by the outcome of the Environmental and Social Screening, as set forth in the ESMF. Where needed, and indicated by the Screening procedure, the ESMP will need to be completed with disclosure and public consultations prior to the final approval of the grant funding and before disbursement of any kind to the applicant. </w:t>
            </w:r>
          </w:p>
          <w:p w14:paraId="698DE291" w14:textId="77777777" w:rsidR="001F5F4A" w:rsidRPr="001F5F4A" w:rsidRDefault="001F5F4A" w:rsidP="005D394E">
            <w:pPr>
              <w:keepLines/>
              <w:widowControl w:val="0"/>
              <w:rPr>
                <w:rFonts w:eastAsia="Times New Roman" w:cstheme="minorHAnsi"/>
                <w:bCs/>
                <w:i/>
                <w:sz w:val="20"/>
                <w:szCs w:val="20"/>
              </w:rPr>
            </w:pPr>
          </w:p>
          <w:p w14:paraId="2423059B" w14:textId="77777777" w:rsidR="003A5962" w:rsidRPr="001F5F4A" w:rsidRDefault="003A5962" w:rsidP="003A5962">
            <w:pPr>
              <w:rPr>
                <w:rFonts w:eastAsia="Times New Roman" w:cstheme="minorHAnsi"/>
                <w:bCs/>
                <w:sz w:val="20"/>
                <w:szCs w:val="20"/>
              </w:rPr>
            </w:pPr>
            <w:r w:rsidRPr="001F5F4A">
              <w:rPr>
                <w:rFonts w:eastAsia="Times New Roman" w:cstheme="minorHAnsi"/>
                <w:bCs/>
                <w:sz w:val="20"/>
                <w:szCs w:val="20"/>
              </w:rPr>
              <w:t xml:space="preserve">LMP </w:t>
            </w:r>
            <w:r>
              <w:rPr>
                <w:rFonts w:eastAsia="Times New Roman" w:cstheme="minorHAnsi"/>
                <w:bCs/>
                <w:sz w:val="20"/>
                <w:szCs w:val="20"/>
              </w:rPr>
              <w:t>already prepared</w:t>
            </w:r>
          </w:p>
          <w:p w14:paraId="26407941" w14:textId="57825B0D" w:rsidR="001F5F4A" w:rsidRPr="001F5F4A" w:rsidRDefault="008A2F2F" w:rsidP="008A2F2F">
            <w:pPr>
              <w:keepLines/>
              <w:widowControl w:val="0"/>
              <w:rPr>
                <w:rFonts w:eastAsia="Times New Roman" w:cstheme="minorHAnsi"/>
                <w:bCs/>
                <w:sz w:val="20"/>
                <w:szCs w:val="20"/>
              </w:rPr>
            </w:pPr>
            <w:r w:rsidRPr="001F5F4A">
              <w:rPr>
                <w:rFonts w:eastAsia="Times New Roman" w:cstheme="minorHAnsi"/>
                <w:bCs/>
                <w:sz w:val="20"/>
                <w:szCs w:val="20"/>
              </w:rPr>
              <w:t>Maintain procedures throughout Project implementation</w:t>
            </w:r>
            <w:r w:rsidR="00F21943" w:rsidRPr="001F5F4A">
              <w:rPr>
                <w:rFonts w:eastAsia="Times New Roman" w:cstheme="minorHAnsi"/>
                <w:bCs/>
                <w:sz w:val="20"/>
                <w:szCs w:val="20"/>
              </w:rPr>
              <w:t xml:space="preserve"> </w:t>
            </w:r>
            <w:r w:rsidR="00037E02">
              <w:rPr>
                <w:rFonts w:eastAsia="Times New Roman" w:cstheme="minorHAnsi"/>
                <w:bCs/>
                <w:sz w:val="20"/>
                <w:szCs w:val="20"/>
              </w:rPr>
              <w:t>(26</w:t>
            </w:r>
            <w:r w:rsidR="00F21943" w:rsidRPr="001F5F4A">
              <w:rPr>
                <w:rFonts w:eastAsia="Times New Roman" w:cstheme="minorHAnsi"/>
                <w:bCs/>
                <w:sz w:val="20"/>
                <w:szCs w:val="20"/>
              </w:rPr>
              <w:t xml:space="preserve"> </w:t>
            </w:r>
            <w:r w:rsidR="00037E02">
              <w:rPr>
                <w:rFonts w:eastAsia="Times New Roman" w:cstheme="minorHAnsi"/>
                <w:bCs/>
                <w:sz w:val="20"/>
                <w:szCs w:val="20"/>
              </w:rPr>
              <w:t>February</w:t>
            </w:r>
            <w:r w:rsidR="00F21943" w:rsidRPr="001F5F4A">
              <w:rPr>
                <w:rFonts w:eastAsia="Times New Roman" w:cstheme="minorHAnsi"/>
                <w:bCs/>
                <w:sz w:val="20"/>
                <w:szCs w:val="20"/>
              </w:rPr>
              <w:t xml:space="preserve"> </w:t>
            </w:r>
            <w:r w:rsidR="00331BAF" w:rsidRPr="001F5F4A">
              <w:rPr>
                <w:rFonts w:eastAsia="Times New Roman" w:cstheme="minorHAnsi"/>
                <w:bCs/>
                <w:sz w:val="20"/>
                <w:szCs w:val="20"/>
              </w:rPr>
              <w:t>2025)</w:t>
            </w:r>
          </w:p>
          <w:p w14:paraId="342FE125" w14:textId="77777777" w:rsidR="001F5F4A" w:rsidRDefault="001F5F4A" w:rsidP="008A2F2F">
            <w:pPr>
              <w:keepLines/>
              <w:widowControl w:val="0"/>
              <w:rPr>
                <w:rFonts w:cstheme="minorHAnsi"/>
                <w:sz w:val="20"/>
                <w:szCs w:val="20"/>
              </w:rPr>
            </w:pPr>
          </w:p>
          <w:p w14:paraId="44FCA739" w14:textId="257DD017" w:rsidR="003A5962" w:rsidRDefault="003A5962" w:rsidP="003A5962">
            <w:pPr>
              <w:keepLines/>
              <w:widowControl w:val="0"/>
              <w:rPr>
                <w:rFonts w:cstheme="minorHAnsi"/>
                <w:sz w:val="20"/>
                <w:szCs w:val="20"/>
              </w:rPr>
            </w:pPr>
            <w:r w:rsidRPr="001F5F4A">
              <w:rPr>
                <w:rFonts w:cstheme="minorHAnsi"/>
                <w:sz w:val="20"/>
                <w:szCs w:val="20"/>
              </w:rPr>
              <w:t xml:space="preserve">Draft SEP acceptable to the Bank </w:t>
            </w:r>
            <w:r>
              <w:rPr>
                <w:rFonts w:cstheme="minorHAnsi"/>
                <w:sz w:val="20"/>
                <w:szCs w:val="20"/>
              </w:rPr>
              <w:t>has been</w:t>
            </w:r>
            <w:r w:rsidRPr="001F5F4A">
              <w:rPr>
                <w:rFonts w:cstheme="minorHAnsi"/>
                <w:sz w:val="20"/>
                <w:szCs w:val="20"/>
              </w:rPr>
              <w:t xml:space="preserve"> prepared</w:t>
            </w:r>
            <w:r>
              <w:rPr>
                <w:rFonts w:cstheme="minorHAnsi"/>
                <w:sz w:val="20"/>
                <w:szCs w:val="20"/>
              </w:rPr>
              <w:t>.</w:t>
            </w:r>
            <w:r w:rsidRPr="001F5F4A">
              <w:rPr>
                <w:rFonts w:cstheme="minorHAnsi"/>
                <w:sz w:val="20"/>
                <w:szCs w:val="20"/>
              </w:rPr>
              <w:t xml:space="preserve"> SEP will be consulted with stakeholders by </w:t>
            </w:r>
            <w:r>
              <w:rPr>
                <w:rFonts w:cstheme="minorHAnsi"/>
                <w:sz w:val="20"/>
                <w:szCs w:val="20"/>
              </w:rPr>
              <w:t>A</w:t>
            </w:r>
            <w:r w:rsidRPr="001F5F4A">
              <w:rPr>
                <w:rFonts w:cstheme="minorHAnsi"/>
                <w:sz w:val="20"/>
                <w:szCs w:val="20"/>
              </w:rPr>
              <w:t>ppraisal</w:t>
            </w:r>
            <w:r>
              <w:rPr>
                <w:rFonts w:cstheme="minorHAnsi"/>
                <w:sz w:val="20"/>
                <w:szCs w:val="20"/>
              </w:rPr>
              <w:t xml:space="preserve"> completion, October </w:t>
            </w:r>
            <w:proofErr w:type="gramStart"/>
            <w:r>
              <w:rPr>
                <w:rFonts w:cstheme="minorHAnsi"/>
                <w:sz w:val="20"/>
                <w:szCs w:val="20"/>
              </w:rPr>
              <w:t>25</w:t>
            </w:r>
            <w:proofErr w:type="gramEnd"/>
            <w:r>
              <w:rPr>
                <w:rFonts w:cstheme="minorHAnsi"/>
                <w:sz w:val="20"/>
                <w:szCs w:val="20"/>
              </w:rPr>
              <w:t xml:space="preserve"> 2019</w:t>
            </w:r>
            <w:r w:rsidRPr="001F5F4A">
              <w:rPr>
                <w:rFonts w:cstheme="minorHAnsi"/>
                <w:sz w:val="20"/>
                <w:szCs w:val="20"/>
              </w:rPr>
              <w:t xml:space="preserve">. </w:t>
            </w:r>
          </w:p>
          <w:p w14:paraId="3D678D1E" w14:textId="2BA80A27" w:rsidR="002B2EE1" w:rsidRPr="00E90C16" w:rsidRDefault="003A5962" w:rsidP="003A5962">
            <w:pPr>
              <w:keepLines/>
              <w:widowControl w:val="0"/>
              <w:rPr>
                <w:rFonts w:cstheme="minorHAnsi"/>
                <w:i/>
                <w:sz w:val="20"/>
                <w:szCs w:val="20"/>
              </w:rPr>
            </w:pPr>
            <w:r w:rsidRPr="001F5F4A">
              <w:rPr>
                <w:rFonts w:cstheme="minorHAnsi"/>
                <w:sz w:val="20"/>
                <w:szCs w:val="20"/>
              </w:rPr>
              <w:t xml:space="preserve">SEP will be applied throughout Project Implementation </w:t>
            </w:r>
            <w:r>
              <w:rPr>
                <w:rFonts w:eastAsia="Times New Roman" w:cstheme="minorHAnsi"/>
                <w:bCs/>
                <w:sz w:val="20"/>
                <w:szCs w:val="20"/>
              </w:rPr>
              <w:t>(26</w:t>
            </w:r>
            <w:r w:rsidRPr="001F5F4A">
              <w:rPr>
                <w:rFonts w:eastAsia="Times New Roman" w:cstheme="minorHAnsi"/>
                <w:bCs/>
                <w:sz w:val="20"/>
                <w:szCs w:val="20"/>
              </w:rPr>
              <w:t xml:space="preserve"> </w:t>
            </w:r>
            <w:r>
              <w:rPr>
                <w:rFonts w:eastAsia="Times New Roman" w:cstheme="minorHAnsi"/>
                <w:bCs/>
                <w:sz w:val="20"/>
                <w:szCs w:val="20"/>
              </w:rPr>
              <w:t>February</w:t>
            </w:r>
            <w:r w:rsidRPr="001F5F4A">
              <w:rPr>
                <w:rFonts w:eastAsia="Times New Roman" w:cstheme="minorHAnsi"/>
                <w:bCs/>
                <w:sz w:val="20"/>
                <w:szCs w:val="20"/>
              </w:rPr>
              <w:t xml:space="preserve"> 2025)</w:t>
            </w:r>
          </w:p>
        </w:tc>
        <w:tc>
          <w:tcPr>
            <w:tcW w:w="3690" w:type="dxa"/>
          </w:tcPr>
          <w:p w14:paraId="489D8047" w14:textId="7D459DF5" w:rsidR="00502173" w:rsidRPr="00E90C16" w:rsidRDefault="003A06A5" w:rsidP="005D394E">
            <w:pPr>
              <w:keepLines/>
              <w:widowControl w:val="0"/>
              <w:rPr>
                <w:rFonts w:cstheme="minorHAnsi"/>
                <w:sz w:val="20"/>
                <w:szCs w:val="20"/>
              </w:rPr>
            </w:pPr>
            <w:r w:rsidRPr="001C6FB1">
              <w:rPr>
                <w:rFonts w:cstheme="minorHAnsi"/>
              </w:rPr>
              <w:t>MAFWM</w:t>
            </w:r>
          </w:p>
        </w:tc>
      </w:tr>
      <w:tr w:rsidR="00502173" w:rsidRPr="00E90C16" w14:paraId="13C5E52B" w14:textId="77777777" w:rsidTr="00594521">
        <w:trPr>
          <w:cantSplit/>
          <w:trHeight w:val="20"/>
        </w:trPr>
        <w:tc>
          <w:tcPr>
            <w:tcW w:w="715" w:type="dxa"/>
          </w:tcPr>
          <w:p w14:paraId="556EBD0C" w14:textId="684C39B4" w:rsidR="00502173" w:rsidRPr="00E90C16" w:rsidRDefault="00502173" w:rsidP="005D394E">
            <w:pPr>
              <w:keepLines/>
              <w:widowControl w:val="0"/>
              <w:jc w:val="center"/>
              <w:rPr>
                <w:rFonts w:cstheme="minorHAnsi"/>
                <w:sz w:val="20"/>
                <w:szCs w:val="20"/>
              </w:rPr>
            </w:pPr>
            <w:r w:rsidRPr="00E90C16">
              <w:rPr>
                <w:rFonts w:cstheme="minorHAnsi"/>
                <w:sz w:val="20"/>
                <w:szCs w:val="20"/>
              </w:rPr>
              <w:t>1.</w:t>
            </w:r>
            <w:r w:rsidR="005348E2">
              <w:rPr>
                <w:rFonts w:cstheme="minorHAnsi"/>
                <w:sz w:val="20"/>
                <w:szCs w:val="20"/>
              </w:rPr>
              <w:t>5</w:t>
            </w:r>
          </w:p>
        </w:tc>
        <w:tc>
          <w:tcPr>
            <w:tcW w:w="6120" w:type="dxa"/>
          </w:tcPr>
          <w:p w14:paraId="51E15A56" w14:textId="6590E9F4" w:rsidR="00E94EA7" w:rsidRPr="00E90C16" w:rsidRDefault="00502173" w:rsidP="005D394E">
            <w:pPr>
              <w:keepLines/>
              <w:widowControl w:val="0"/>
              <w:rPr>
                <w:rFonts w:cstheme="minorHAnsi"/>
                <w:sz w:val="20"/>
                <w:szCs w:val="20"/>
              </w:rPr>
            </w:pPr>
            <w:r w:rsidRPr="00E90C16">
              <w:rPr>
                <w:rFonts w:cstheme="minorHAnsi"/>
                <w:b/>
                <w:color w:val="5B9BD5" w:themeColor="accent5"/>
                <w:sz w:val="20"/>
                <w:szCs w:val="20"/>
              </w:rPr>
              <w:t>MANAGEMENT OF CONTRACTORS</w:t>
            </w:r>
            <w:r w:rsidRPr="00E90C16">
              <w:rPr>
                <w:rFonts w:cstheme="minorHAnsi"/>
                <w:sz w:val="20"/>
                <w:szCs w:val="20"/>
              </w:rPr>
              <w:t xml:space="preserve"> </w:t>
            </w:r>
          </w:p>
          <w:p w14:paraId="717AF0C5" w14:textId="0B79D423" w:rsidR="00502173" w:rsidRPr="00E90C16" w:rsidRDefault="00502173" w:rsidP="005D394E">
            <w:pPr>
              <w:keepLines/>
              <w:widowControl w:val="0"/>
              <w:rPr>
                <w:rFonts w:cstheme="minorHAnsi"/>
                <w:sz w:val="20"/>
                <w:szCs w:val="20"/>
              </w:rPr>
            </w:pPr>
            <w:r w:rsidRPr="00E90C16">
              <w:rPr>
                <w:rFonts w:ascii="Calibri" w:hAnsi="Calibri" w:cs="Calibri"/>
                <w:sz w:val="20"/>
                <w:szCs w:val="20"/>
              </w:rPr>
              <w:t>Incorporate the relevant aspects of the ESCP, including</w:t>
            </w:r>
            <w:r w:rsidR="00BD53EC" w:rsidRPr="00E90C16">
              <w:rPr>
                <w:rFonts w:ascii="Calibri" w:hAnsi="Calibri" w:cs="Calibri"/>
                <w:sz w:val="20"/>
                <w:szCs w:val="20"/>
              </w:rPr>
              <w:t xml:space="preserve"> the ESMF and</w:t>
            </w:r>
            <w:r w:rsidRPr="00E90C16">
              <w:rPr>
                <w:rFonts w:ascii="Calibri" w:hAnsi="Calibri" w:cs="Calibri"/>
                <w:sz w:val="20"/>
                <w:szCs w:val="20"/>
              </w:rPr>
              <w:t xml:space="preserve"> the Labor Management Procedures, into the ESHS specifications of the procurement documents with </w:t>
            </w:r>
            <w:r w:rsidRPr="00E90C16">
              <w:rPr>
                <w:rFonts w:cstheme="minorHAnsi"/>
                <w:sz w:val="20"/>
                <w:szCs w:val="20"/>
              </w:rPr>
              <w:t>contractors. Thereafter ensure that the contractors comply with the ESHS specifications of their respective contracts.</w:t>
            </w:r>
          </w:p>
          <w:p w14:paraId="16EDEFB8" w14:textId="1897EFC7" w:rsidR="00502173" w:rsidRPr="00E90C16" w:rsidRDefault="00502173" w:rsidP="005D394E">
            <w:pPr>
              <w:keepLines/>
              <w:widowControl w:val="0"/>
              <w:rPr>
                <w:rFonts w:cstheme="minorHAnsi"/>
                <w:sz w:val="20"/>
                <w:szCs w:val="20"/>
              </w:rPr>
            </w:pPr>
          </w:p>
        </w:tc>
        <w:tc>
          <w:tcPr>
            <w:tcW w:w="3780" w:type="dxa"/>
          </w:tcPr>
          <w:p w14:paraId="6D42BD64" w14:textId="0AFAA86C" w:rsidR="00502173" w:rsidRPr="00543E5E" w:rsidRDefault="00502173" w:rsidP="005D394E">
            <w:pPr>
              <w:keepLines/>
              <w:widowControl w:val="0"/>
              <w:rPr>
                <w:rFonts w:eastAsia="Times New Roman" w:cstheme="minorHAnsi"/>
                <w:bCs/>
                <w:sz w:val="20"/>
                <w:szCs w:val="20"/>
              </w:rPr>
            </w:pPr>
            <w:r w:rsidRPr="00543E5E">
              <w:rPr>
                <w:rFonts w:eastAsia="Times New Roman" w:cstheme="minorHAnsi"/>
                <w:bCs/>
                <w:sz w:val="20"/>
                <w:szCs w:val="20"/>
              </w:rPr>
              <w:t xml:space="preserve">Prior to the preparation of procurement documents. </w:t>
            </w:r>
          </w:p>
          <w:p w14:paraId="34689B31" w14:textId="4D1BF340" w:rsidR="00502173" w:rsidRPr="00E90C16" w:rsidRDefault="00502173" w:rsidP="005D394E">
            <w:pPr>
              <w:keepLines/>
              <w:widowControl w:val="0"/>
              <w:rPr>
                <w:rFonts w:cstheme="minorHAnsi"/>
                <w:i/>
                <w:sz w:val="20"/>
                <w:szCs w:val="20"/>
              </w:rPr>
            </w:pPr>
            <w:r w:rsidRPr="00543E5E">
              <w:rPr>
                <w:rFonts w:eastAsia="Times New Roman" w:cstheme="minorHAnsi"/>
                <w:bCs/>
                <w:sz w:val="20"/>
                <w:szCs w:val="20"/>
              </w:rPr>
              <w:t>Supervise contractors throughout Project implementation.</w:t>
            </w:r>
          </w:p>
        </w:tc>
        <w:tc>
          <w:tcPr>
            <w:tcW w:w="3690" w:type="dxa"/>
          </w:tcPr>
          <w:p w14:paraId="2C167600" w14:textId="1F83B8AB" w:rsidR="00502173" w:rsidRPr="00E90C16" w:rsidRDefault="00F375D9" w:rsidP="005D394E">
            <w:pPr>
              <w:keepLines/>
              <w:widowControl w:val="0"/>
              <w:rPr>
                <w:rFonts w:cstheme="minorHAnsi"/>
                <w:sz w:val="20"/>
                <w:szCs w:val="20"/>
              </w:rPr>
            </w:pPr>
            <w:r w:rsidRPr="001C6FB1">
              <w:rPr>
                <w:rFonts w:cstheme="minorHAnsi"/>
              </w:rPr>
              <w:t>MAFWM</w:t>
            </w:r>
          </w:p>
        </w:tc>
      </w:tr>
      <w:tr w:rsidR="00502173" w:rsidRPr="00E90C16" w14:paraId="24AAF5F3" w14:textId="77777777" w:rsidTr="00FA0A88">
        <w:trPr>
          <w:cantSplit/>
          <w:trHeight w:val="458"/>
        </w:trPr>
        <w:tc>
          <w:tcPr>
            <w:tcW w:w="14305" w:type="dxa"/>
            <w:gridSpan w:val="4"/>
            <w:shd w:val="clear" w:color="auto" w:fill="F4B083" w:themeFill="accent2" w:themeFillTint="99"/>
          </w:tcPr>
          <w:p w14:paraId="2B02C777" w14:textId="69C4181C" w:rsidR="00502173" w:rsidRPr="00E90C16" w:rsidRDefault="00502173" w:rsidP="005D394E">
            <w:pPr>
              <w:keepLines/>
              <w:widowControl w:val="0"/>
              <w:rPr>
                <w:rFonts w:cstheme="minorHAnsi"/>
                <w:sz w:val="20"/>
                <w:szCs w:val="20"/>
              </w:rPr>
            </w:pPr>
            <w:r w:rsidRPr="00E90C16">
              <w:rPr>
                <w:rFonts w:cstheme="minorHAnsi"/>
                <w:b/>
                <w:sz w:val="20"/>
                <w:szCs w:val="20"/>
              </w:rPr>
              <w:t xml:space="preserve">ESS 2:  LABOR AND WORKING CONDITIONS  </w:t>
            </w:r>
          </w:p>
        </w:tc>
      </w:tr>
      <w:tr w:rsidR="00502173" w:rsidRPr="00E90C16" w14:paraId="752A32E9" w14:textId="77777777" w:rsidTr="00594521">
        <w:trPr>
          <w:cantSplit/>
          <w:trHeight w:val="20"/>
        </w:trPr>
        <w:tc>
          <w:tcPr>
            <w:tcW w:w="715" w:type="dxa"/>
          </w:tcPr>
          <w:p w14:paraId="588298D6" w14:textId="77777777" w:rsidR="00502173" w:rsidRPr="00E90C16" w:rsidRDefault="00502173" w:rsidP="005D394E">
            <w:pPr>
              <w:keepLines/>
              <w:widowControl w:val="0"/>
              <w:jc w:val="center"/>
              <w:rPr>
                <w:rFonts w:cstheme="minorHAnsi"/>
                <w:sz w:val="20"/>
                <w:szCs w:val="20"/>
              </w:rPr>
            </w:pPr>
            <w:r w:rsidRPr="00E90C16">
              <w:rPr>
                <w:rFonts w:cstheme="minorHAnsi"/>
                <w:sz w:val="20"/>
                <w:szCs w:val="20"/>
              </w:rPr>
              <w:t>2.1</w:t>
            </w:r>
          </w:p>
        </w:tc>
        <w:tc>
          <w:tcPr>
            <w:tcW w:w="6120" w:type="dxa"/>
          </w:tcPr>
          <w:p w14:paraId="5E4F589E" w14:textId="036C26F0" w:rsidR="00502173" w:rsidRPr="001F5F4A" w:rsidRDefault="00502173" w:rsidP="005D394E">
            <w:pPr>
              <w:keepLines/>
              <w:widowControl w:val="0"/>
              <w:rPr>
                <w:rFonts w:cstheme="minorHAnsi"/>
                <w:b/>
                <w:color w:val="5B9BD5" w:themeColor="accent5"/>
                <w:sz w:val="20"/>
                <w:szCs w:val="20"/>
              </w:rPr>
            </w:pPr>
            <w:r w:rsidRPr="00E90C16">
              <w:rPr>
                <w:rFonts w:cstheme="minorHAnsi"/>
                <w:b/>
                <w:color w:val="5B9BD5" w:themeColor="accent5"/>
                <w:sz w:val="20"/>
                <w:szCs w:val="20"/>
              </w:rPr>
              <w:t>LABOR MANAGEMENT PROCEDURES</w:t>
            </w:r>
          </w:p>
          <w:p w14:paraId="252E36FD" w14:textId="5E547001" w:rsidR="00502173" w:rsidRPr="00E90C16" w:rsidRDefault="00502173" w:rsidP="005D394E">
            <w:pPr>
              <w:keepLines/>
              <w:widowControl w:val="0"/>
              <w:rPr>
                <w:rFonts w:cstheme="minorHAnsi"/>
                <w:sz w:val="20"/>
                <w:szCs w:val="20"/>
              </w:rPr>
            </w:pPr>
            <w:r w:rsidRPr="00E90C16">
              <w:rPr>
                <w:rFonts w:cstheme="minorHAnsi"/>
                <w:sz w:val="20"/>
                <w:szCs w:val="20"/>
              </w:rPr>
              <w:t>Update</w:t>
            </w:r>
            <w:r w:rsidR="00AB6EB7" w:rsidRPr="00E90C16">
              <w:rPr>
                <w:rFonts w:cstheme="minorHAnsi"/>
                <w:sz w:val="20"/>
                <w:szCs w:val="20"/>
              </w:rPr>
              <w:t>, adopt,</w:t>
            </w:r>
            <w:r w:rsidRPr="00E90C16">
              <w:rPr>
                <w:rFonts w:cstheme="minorHAnsi"/>
                <w:sz w:val="20"/>
                <w:szCs w:val="20"/>
              </w:rPr>
              <w:t xml:space="preserve"> and implement the Labor Management Procedures (LMP) that have been developed for the Project. </w:t>
            </w:r>
          </w:p>
        </w:tc>
        <w:tc>
          <w:tcPr>
            <w:tcW w:w="3780" w:type="dxa"/>
          </w:tcPr>
          <w:p w14:paraId="1B6A13A1" w14:textId="77777777" w:rsidR="00B4778F" w:rsidRPr="00E90C16" w:rsidRDefault="00B4778F" w:rsidP="005D09FE">
            <w:pPr>
              <w:keepLines/>
              <w:widowControl w:val="0"/>
              <w:rPr>
                <w:rFonts w:eastAsia="Times New Roman" w:cstheme="minorHAnsi"/>
                <w:bCs/>
                <w:i/>
                <w:sz w:val="20"/>
                <w:szCs w:val="20"/>
              </w:rPr>
            </w:pPr>
          </w:p>
          <w:p w14:paraId="79005B4D" w14:textId="4F7FBEB6" w:rsidR="00502173" w:rsidRPr="00E90C16" w:rsidRDefault="00502173" w:rsidP="005D09FE">
            <w:pPr>
              <w:keepLines/>
              <w:widowControl w:val="0"/>
              <w:rPr>
                <w:rFonts w:eastAsia="Times New Roman" w:cstheme="minorHAnsi"/>
                <w:bCs/>
                <w:i/>
                <w:sz w:val="20"/>
                <w:szCs w:val="20"/>
              </w:rPr>
            </w:pPr>
            <w:r w:rsidRPr="001F5F4A">
              <w:rPr>
                <w:rFonts w:eastAsia="Times New Roman" w:cstheme="minorHAnsi"/>
                <w:bCs/>
                <w:sz w:val="20"/>
                <w:szCs w:val="20"/>
              </w:rPr>
              <w:t>Throughout Project implementation.</w:t>
            </w:r>
          </w:p>
        </w:tc>
        <w:tc>
          <w:tcPr>
            <w:tcW w:w="3690" w:type="dxa"/>
          </w:tcPr>
          <w:p w14:paraId="1DBB9F8C" w14:textId="6E82B44B" w:rsidR="00502173" w:rsidRPr="00E90C16" w:rsidRDefault="00F375D9" w:rsidP="005D394E">
            <w:pPr>
              <w:keepLines/>
              <w:widowControl w:val="0"/>
              <w:rPr>
                <w:rFonts w:cstheme="minorHAnsi"/>
                <w:sz w:val="20"/>
                <w:szCs w:val="20"/>
              </w:rPr>
            </w:pPr>
            <w:r w:rsidRPr="001C6FB1">
              <w:rPr>
                <w:rFonts w:cstheme="minorHAnsi"/>
              </w:rPr>
              <w:t>MAFWM</w:t>
            </w:r>
          </w:p>
        </w:tc>
      </w:tr>
      <w:tr w:rsidR="00502173" w:rsidRPr="00E90C16" w14:paraId="4EEA286A" w14:textId="77777777" w:rsidTr="00594521">
        <w:trPr>
          <w:cantSplit/>
          <w:trHeight w:val="20"/>
        </w:trPr>
        <w:tc>
          <w:tcPr>
            <w:tcW w:w="715" w:type="dxa"/>
          </w:tcPr>
          <w:p w14:paraId="6EF002B6" w14:textId="77777777" w:rsidR="00502173" w:rsidRPr="00E90C16" w:rsidRDefault="00502173" w:rsidP="005D394E">
            <w:pPr>
              <w:keepLines/>
              <w:widowControl w:val="0"/>
              <w:jc w:val="center"/>
              <w:rPr>
                <w:rFonts w:cstheme="minorHAnsi"/>
                <w:sz w:val="20"/>
                <w:szCs w:val="20"/>
              </w:rPr>
            </w:pPr>
            <w:r w:rsidRPr="00E90C16">
              <w:rPr>
                <w:rFonts w:cstheme="minorHAnsi"/>
                <w:sz w:val="20"/>
                <w:szCs w:val="20"/>
              </w:rPr>
              <w:lastRenderedPageBreak/>
              <w:t>2.2</w:t>
            </w:r>
          </w:p>
        </w:tc>
        <w:tc>
          <w:tcPr>
            <w:tcW w:w="6120" w:type="dxa"/>
          </w:tcPr>
          <w:p w14:paraId="5ACF0C6B" w14:textId="77777777" w:rsidR="001A44BB" w:rsidRPr="00E90C16" w:rsidRDefault="00502173" w:rsidP="005D394E">
            <w:pPr>
              <w:pStyle w:val="MainText"/>
              <w:keepLines/>
              <w:widowControl w:val="0"/>
              <w:spacing w:after="0" w:line="240" w:lineRule="auto"/>
              <w:jc w:val="both"/>
              <w:rPr>
                <w:rFonts w:asciiTheme="minorHAnsi" w:hAnsiTheme="minorHAnsi" w:cstheme="minorHAnsi"/>
                <w:szCs w:val="20"/>
              </w:rPr>
            </w:pPr>
            <w:r w:rsidRPr="00E90C16">
              <w:rPr>
                <w:rFonts w:asciiTheme="minorHAnsi" w:hAnsiTheme="minorHAnsi" w:cstheme="minorHAnsi"/>
                <w:b/>
                <w:color w:val="5B9BD5" w:themeColor="accent5"/>
                <w:szCs w:val="20"/>
              </w:rPr>
              <w:t>GRIEVANCE MECHANISM FOR PROJECT WORKERS</w:t>
            </w:r>
            <w:r w:rsidRPr="00E90C16">
              <w:rPr>
                <w:rFonts w:asciiTheme="minorHAnsi" w:hAnsiTheme="minorHAnsi" w:cstheme="minorHAnsi"/>
                <w:szCs w:val="20"/>
              </w:rPr>
              <w:t xml:space="preserve"> </w:t>
            </w:r>
          </w:p>
          <w:p w14:paraId="3168FA44" w14:textId="29666B98" w:rsidR="00502173" w:rsidRPr="00E90C16" w:rsidRDefault="00502173" w:rsidP="005D394E">
            <w:pPr>
              <w:pStyle w:val="MainText"/>
              <w:keepLines/>
              <w:widowControl w:val="0"/>
              <w:spacing w:after="0" w:line="240" w:lineRule="auto"/>
              <w:jc w:val="both"/>
              <w:rPr>
                <w:rFonts w:asciiTheme="minorHAnsi" w:hAnsiTheme="minorHAnsi" w:cstheme="minorHAnsi"/>
                <w:szCs w:val="20"/>
              </w:rPr>
            </w:pPr>
            <w:r w:rsidRPr="00E90C16">
              <w:rPr>
                <w:rFonts w:asciiTheme="minorHAnsi" w:hAnsiTheme="minorHAnsi" w:cstheme="minorHAnsi"/>
                <w:szCs w:val="20"/>
              </w:rPr>
              <w:t>Establish, maintain</w:t>
            </w:r>
            <w:r w:rsidR="00F731E8" w:rsidRPr="00E90C16">
              <w:rPr>
                <w:rFonts w:asciiTheme="minorHAnsi" w:hAnsiTheme="minorHAnsi" w:cstheme="minorHAnsi"/>
                <w:szCs w:val="20"/>
              </w:rPr>
              <w:t>,</w:t>
            </w:r>
            <w:r w:rsidR="00F37BB5" w:rsidRPr="00E90C16">
              <w:rPr>
                <w:rFonts w:asciiTheme="minorHAnsi" w:hAnsiTheme="minorHAnsi" w:cstheme="minorHAnsi"/>
                <w:szCs w:val="20"/>
              </w:rPr>
              <w:t xml:space="preserve"> and operate</w:t>
            </w:r>
            <w:r w:rsidRPr="00E90C16">
              <w:rPr>
                <w:rFonts w:asciiTheme="minorHAnsi" w:hAnsiTheme="minorHAnsi" w:cstheme="minorHAnsi"/>
                <w:szCs w:val="20"/>
              </w:rPr>
              <w:t xml:space="preserve"> grievance mechanism</w:t>
            </w:r>
            <w:r w:rsidR="0089646D" w:rsidRPr="00E90C16">
              <w:rPr>
                <w:rFonts w:asciiTheme="minorHAnsi" w:hAnsiTheme="minorHAnsi" w:cstheme="minorHAnsi"/>
                <w:szCs w:val="20"/>
              </w:rPr>
              <w:t>s</w:t>
            </w:r>
            <w:r w:rsidRPr="00E90C16">
              <w:rPr>
                <w:rFonts w:asciiTheme="minorHAnsi" w:hAnsiTheme="minorHAnsi" w:cstheme="minorHAnsi"/>
                <w:szCs w:val="20"/>
              </w:rPr>
              <w:t xml:space="preserve"> for</w:t>
            </w:r>
            <w:r w:rsidR="0089646D" w:rsidRPr="00E90C16">
              <w:rPr>
                <w:rFonts w:asciiTheme="minorHAnsi" w:hAnsiTheme="minorHAnsi" w:cstheme="minorHAnsi"/>
                <w:szCs w:val="20"/>
              </w:rPr>
              <w:t xml:space="preserve"> relevant types of</w:t>
            </w:r>
            <w:r w:rsidRPr="00E90C16">
              <w:rPr>
                <w:rFonts w:asciiTheme="minorHAnsi" w:hAnsiTheme="minorHAnsi" w:cstheme="minorHAnsi"/>
                <w:szCs w:val="20"/>
              </w:rPr>
              <w:t xml:space="preserve"> Project workers</w:t>
            </w:r>
            <w:r w:rsidR="0089646D" w:rsidRPr="00E90C16">
              <w:rPr>
                <w:rFonts w:asciiTheme="minorHAnsi" w:hAnsiTheme="minorHAnsi" w:cstheme="minorHAnsi"/>
                <w:szCs w:val="20"/>
              </w:rPr>
              <w:t xml:space="preserve"> (direct and contracted)</w:t>
            </w:r>
            <w:r w:rsidR="00794511" w:rsidRPr="00E90C16">
              <w:rPr>
                <w:rFonts w:asciiTheme="minorHAnsi" w:hAnsiTheme="minorHAnsi" w:cstheme="minorHAnsi"/>
                <w:szCs w:val="20"/>
              </w:rPr>
              <w:t>, as described in the LMP</w:t>
            </w:r>
            <w:r w:rsidR="001F5F4A">
              <w:rPr>
                <w:rFonts w:asciiTheme="minorHAnsi" w:hAnsiTheme="minorHAnsi" w:cstheme="minorHAnsi"/>
                <w:szCs w:val="20"/>
              </w:rPr>
              <w:t xml:space="preserve"> </w:t>
            </w:r>
            <w:r w:rsidR="00475D41" w:rsidRPr="00E90C16">
              <w:rPr>
                <w:rFonts w:asciiTheme="minorHAnsi" w:hAnsiTheme="minorHAnsi" w:cstheme="minorHAnsi"/>
                <w:szCs w:val="20"/>
              </w:rPr>
              <w:t>and consistent with ESS2</w:t>
            </w:r>
            <w:r w:rsidRPr="00E90C16">
              <w:rPr>
                <w:rFonts w:asciiTheme="minorHAnsi" w:hAnsiTheme="minorHAnsi" w:cstheme="minorHAnsi"/>
                <w:szCs w:val="20"/>
              </w:rPr>
              <w:t xml:space="preserve">. </w:t>
            </w:r>
          </w:p>
          <w:p w14:paraId="3F862D33" w14:textId="77777777" w:rsidR="00502AFD" w:rsidRPr="00E90C16" w:rsidRDefault="00502AFD" w:rsidP="005D394E">
            <w:pPr>
              <w:pStyle w:val="MainText"/>
              <w:keepLines/>
              <w:widowControl w:val="0"/>
              <w:spacing w:after="0" w:line="240" w:lineRule="auto"/>
              <w:jc w:val="both"/>
              <w:rPr>
                <w:rFonts w:asciiTheme="minorHAnsi" w:hAnsiTheme="minorHAnsi" w:cstheme="minorHAnsi"/>
                <w:szCs w:val="20"/>
              </w:rPr>
            </w:pPr>
          </w:p>
          <w:p w14:paraId="0FA7B383" w14:textId="09C9F64B" w:rsidR="00B10CFA" w:rsidRPr="00E90C16" w:rsidRDefault="00AE1E21" w:rsidP="005D394E">
            <w:pPr>
              <w:pStyle w:val="MainText"/>
              <w:keepLines/>
              <w:widowControl w:val="0"/>
              <w:spacing w:after="0" w:line="240" w:lineRule="auto"/>
              <w:jc w:val="both"/>
              <w:rPr>
                <w:rFonts w:asciiTheme="minorHAnsi" w:hAnsiTheme="minorHAnsi" w:cstheme="minorHAnsi"/>
                <w:szCs w:val="20"/>
              </w:rPr>
            </w:pPr>
            <w:r w:rsidRPr="00E90C16">
              <w:rPr>
                <w:rFonts w:asciiTheme="minorHAnsi" w:hAnsiTheme="minorHAnsi" w:cstheme="minorHAnsi"/>
                <w:szCs w:val="20"/>
              </w:rPr>
              <w:t xml:space="preserve">PIU shall </w:t>
            </w:r>
            <w:r w:rsidR="005C4504" w:rsidRPr="00E90C16">
              <w:rPr>
                <w:rFonts w:asciiTheme="minorHAnsi" w:hAnsiTheme="minorHAnsi" w:cstheme="minorHAnsi"/>
                <w:szCs w:val="20"/>
              </w:rPr>
              <w:t xml:space="preserve">monitor number of received complaints. </w:t>
            </w:r>
          </w:p>
          <w:p w14:paraId="23FA5AB6" w14:textId="751034BF" w:rsidR="004744D6" w:rsidRPr="00E90C16" w:rsidRDefault="004744D6" w:rsidP="005D394E">
            <w:pPr>
              <w:pStyle w:val="MainText"/>
              <w:keepLines/>
              <w:widowControl w:val="0"/>
              <w:spacing w:after="0" w:line="240" w:lineRule="auto"/>
              <w:jc w:val="both"/>
              <w:rPr>
                <w:rFonts w:asciiTheme="minorHAnsi" w:hAnsiTheme="minorHAnsi" w:cstheme="minorHAnsi"/>
                <w:szCs w:val="20"/>
              </w:rPr>
            </w:pPr>
          </w:p>
          <w:p w14:paraId="09C48577" w14:textId="77777777" w:rsidR="0089646D" w:rsidRPr="00543E5E" w:rsidRDefault="0089646D" w:rsidP="005D394E">
            <w:pPr>
              <w:pStyle w:val="MainText"/>
              <w:keepLines/>
              <w:widowControl w:val="0"/>
              <w:spacing w:after="0" w:line="240" w:lineRule="auto"/>
              <w:jc w:val="both"/>
              <w:rPr>
                <w:rFonts w:asciiTheme="minorHAnsi" w:hAnsiTheme="minorHAnsi" w:cstheme="minorHAnsi"/>
                <w:szCs w:val="20"/>
                <w:lang w:val="en-US"/>
              </w:rPr>
            </w:pPr>
          </w:p>
          <w:p w14:paraId="6CBFA17F" w14:textId="77777777" w:rsidR="005C4504" w:rsidRPr="00E90C16" w:rsidRDefault="005C4504" w:rsidP="005D394E">
            <w:pPr>
              <w:pStyle w:val="MainText"/>
              <w:keepLines/>
              <w:widowControl w:val="0"/>
              <w:spacing w:after="0" w:line="240" w:lineRule="auto"/>
              <w:jc w:val="both"/>
              <w:rPr>
                <w:rFonts w:asciiTheme="minorHAnsi" w:hAnsiTheme="minorHAnsi" w:cstheme="minorHAnsi"/>
                <w:szCs w:val="20"/>
              </w:rPr>
            </w:pPr>
          </w:p>
          <w:p w14:paraId="485BD655" w14:textId="2F9E7372" w:rsidR="005C4504" w:rsidRPr="00E90C16" w:rsidRDefault="005C4504" w:rsidP="005D394E">
            <w:pPr>
              <w:pStyle w:val="MainText"/>
              <w:keepLines/>
              <w:widowControl w:val="0"/>
              <w:spacing w:after="0" w:line="240" w:lineRule="auto"/>
              <w:jc w:val="both"/>
              <w:rPr>
                <w:rFonts w:asciiTheme="minorHAnsi" w:hAnsiTheme="minorHAnsi" w:cstheme="minorHAnsi"/>
                <w:szCs w:val="20"/>
              </w:rPr>
            </w:pPr>
          </w:p>
        </w:tc>
        <w:tc>
          <w:tcPr>
            <w:tcW w:w="3780" w:type="dxa"/>
          </w:tcPr>
          <w:p w14:paraId="09BCF837" w14:textId="1865022A" w:rsidR="00502173" w:rsidRPr="00543E5E" w:rsidRDefault="003E7F99" w:rsidP="005D394E">
            <w:pPr>
              <w:keepLines/>
              <w:widowControl w:val="0"/>
              <w:rPr>
                <w:rFonts w:eastAsia="Times New Roman" w:cstheme="minorHAnsi"/>
                <w:bCs/>
                <w:sz w:val="20"/>
                <w:szCs w:val="20"/>
              </w:rPr>
            </w:pPr>
            <w:bookmarkStart w:id="1" w:name="_GoBack"/>
            <w:r w:rsidRPr="00543E5E">
              <w:rPr>
                <w:rFonts w:eastAsia="Times New Roman" w:cstheme="minorHAnsi"/>
                <w:bCs/>
                <w:sz w:val="20"/>
                <w:szCs w:val="20"/>
              </w:rPr>
              <w:t>G</w:t>
            </w:r>
            <w:r w:rsidR="00502173" w:rsidRPr="00543E5E">
              <w:rPr>
                <w:rFonts w:eastAsia="Times New Roman" w:cstheme="minorHAnsi"/>
                <w:bCs/>
                <w:sz w:val="20"/>
                <w:szCs w:val="20"/>
              </w:rPr>
              <w:t>rievance</w:t>
            </w:r>
            <w:bookmarkEnd w:id="1"/>
            <w:r w:rsidR="00502173" w:rsidRPr="00543E5E">
              <w:rPr>
                <w:rFonts w:eastAsia="Times New Roman" w:cstheme="minorHAnsi"/>
                <w:bCs/>
                <w:sz w:val="20"/>
                <w:szCs w:val="20"/>
              </w:rPr>
              <w:t xml:space="preserve"> mechanism</w:t>
            </w:r>
            <w:r w:rsidR="00501AA7" w:rsidRPr="00543E5E">
              <w:rPr>
                <w:rFonts w:eastAsia="Times New Roman" w:cstheme="minorHAnsi"/>
                <w:bCs/>
                <w:sz w:val="20"/>
                <w:szCs w:val="20"/>
              </w:rPr>
              <w:t xml:space="preserve"> </w:t>
            </w:r>
            <w:r w:rsidR="00502173" w:rsidRPr="00543E5E">
              <w:rPr>
                <w:rFonts w:eastAsia="Times New Roman" w:cstheme="minorHAnsi"/>
                <w:bCs/>
                <w:sz w:val="20"/>
                <w:szCs w:val="20"/>
              </w:rPr>
              <w:t xml:space="preserve">operational prior </w:t>
            </w:r>
            <w:r w:rsidR="002376AB" w:rsidRPr="00543E5E">
              <w:rPr>
                <w:rFonts w:eastAsia="Times New Roman" w:cstheme="minorHAnsi"/>
                <w:bCs/>
                <w:sz w:val="20"/>
                <w:szCs w:val="20"/>
              </w:rPr>
              <w:t xml:space="preserve">to </w:t>
            </w:r>
            <w:r w:rsidR="0055393C" w:rsidRPr="000F79B9">
              <w:rPr>
                <w:rFonts w:eastAsia="Times New Roman" w:cstheme="minorHAnsi"/>
                <w:bCs/>
                <w:sz w:val="20"/>
                <w:szCs w:val="20"/>
              </w:rPr>
              <w:t>engaging contracted workers and prior to effectiveness for direct workers</w:t>
            </w:r>
            <w:r w:rsidR="0055393C">
              <w:rPr>
                <w:rFonts w:eastAsia="Times New Roman" w:cstheme="minorHAnsi"/>
                <w:bCs/>
                <w:sz w:val="20"/>
                <w:szCs w:val="20"/>
              </w:rPr>
              <w:t xml:space="preserve"> </w:t>
            </w:r>
            <w:r w:rsidR="00502173" w:rsidRPr="00543E5E">
              <w:rPr>
                <w:rFonts w:eastAsia="Times New Roman" w:cstheme="minorHAnsi"/>
                <w:bCs/>
                <w:sz w:val="20"/>
                <w:szCs w:val="20"/>
              </w:rPr>
              <w:t>and maintained throughout Project implementation.</w:t>
            </w:r>
          </w:p>
          <w:p w14:paraId="4A57F0F6" w14:textId="77777777" w:rsidR="00B10CFA" w:rsidRPr="00543E5E" w:rsidRDefault="00B10CFA" w:rsidP="005D394E">
            <w:pPr>
              <w:keepLines/>
              <w:widowControl w:val="0"/>
              <w:rPr>
                <w:rFonts w:cstheme="minorHAnsi"/>
                <w:sz w:val="20"/>
                <w:szCs w:val="20"/>
                <w:lang w:eastAsia="en-GB"/>
              </w:rPr>
            </w:pPr>
          </w:p>
          <w:p w14:paraId="12F8319D" w14:textId="0A1C8E16" w:rsidR="005C4504" w:rsidRPr="00543E5E" w:rsidRDefault="005C4504" w:rsidP="005D394E">
            <w:pPr>
              <w:keepLines/>
              <w:widowControl w:val="0"/>
              <w:rPr>
                <w:rFonts w:cstheme="minorHAnsi"/>
                <w:sz w:val="20"/>
                <w:szCs w:val="20"/>
                <w:lang w:eastAsia="en-GB"/>
              </w:rPr>
            </w:pPr>
            <w:r w:rsidRPr="00543E5E">
              <w:rPr>
                <w:rFonts w:cstheme="minorHAnsi"/>
                <w:sz w:val="20"/>
                <w:szCs w:val="20"/>
                <w:lang w:eastAsia="en-GB"/>
              </w:rPr>
              <w:t xml:space="preserve">Ongoing </w:t>
            </w:r>
            <w:r w:rsidR="002376AB" w:rsidRPr="00543E5E">
              <w:rPr>
                <w:rFonts w:cstheme="minorHAnsi"/>
                <w:sz w:val="20"/>
                <w:szCs w:val="20"/>
                <w:lang w:eastAsia="en-GB"/>
              </w:rPr>
              <w:t>throughout</w:t>
            </w:r>
            <w:r w:rsidRPr="00543E5E">
              <w:rPr>
                <w:rFonts w:cstheme="minorHAnsi"/>
                <w:sz w:val="20"/>
                <w:szCs w:val="20"/>
                <w:lang w:eastAsia="en-GB"/>
              </w:rPr>
              <w:t xml:space="preserve"> project implementation</w:t>
            </w:r>
          </w:p>
          <w:p w14:paraId="6F5F47C1" w14:textId="77777777" w:rsidR="005C4504" w:rsidRPr="00E90C16" w:rsidRDefault="005C4504" w:rsidP="005D394E">
            <w:pPr>
              <w:keepLines/>
              <w:widowControl w:val="0"/>
              <w:rPr>
                <w:rFonts w:cstheme="minorHAnsi"/>
                <w:i/>
                <w:sz w:val="20"/>
                <w:szCs w:val="20"/>
                <w:lang w:eastAsia="en-GB"/>
              </w:rPr>
            </w:pPr>
          </w:p>
          <w:p w14:paraId="09632AE7" w14:textId="4724F1DB" w:rsidR="005C4504" w:rsidRPr="00E90C16" w:rsidRDefault="005C4504" w:rsidP="005D394E">
            <w:pPr>
              <w:keepLines/>
              <w:widowControl w:val="0"/>
              <w:rPr>
                <w:rFonts w:cstheme="minorHAnsi"/>
                <w:i/>
                <w:sz w:val="20"/>
                <w:szCs w:val="20"/>
                <w:lang w:eastAsia="en-GB"/>
              </w:rPr>
            </w:pPr>
          </w:p>
        </w:tc>
        <w:tc>
          <w:tcPr>
            <w:tcW w:w="3690" w:type="dxa"/>
          </w:tcPr>
          <w:p w14:paraId="3C71A24E" w14:textId="19DCBD5B" w:rsidR="00502173" w:rsidRPr="00E90C16" w:rsidRDefault="00F375D9" w:rsidP="005D394E">
            <w:pPr>
              <w:keepLines/>
              <w:widowControl w:val="0"/>
              <w:rPr>
                <w:rFonts w:cstheme="minorHAnsi"/>
                <w:sz w:val="20"/>
                <w:szCs w:val="20"/>
              </w:rPr>
            </w:pPr>
            <w:r w:rsidRPr="001C6FB1">
              <w:rPr>
                <w:rFonts w:cstheme="minorHAnsi"/>
              </w:rPr>
              <w:t>MAFWM</w:t>
            </w:r>
          </w:p>
        </w:tc>
      </w:tr>
      <w:tr w:rsidR="00502173" w:rsidRPr="00E90C16" w14:paraId="2603CE7D" w14:textId="77777777" w:rsidTr="00594521">
        <w:trPr>
          <w:cantSplit/>
          <w:trHeight w:val="20"/>
        </w:trPr>
        <w:tc>
          <w:tcPr>
            <w:tcW w:w="715" w:type="dxa"/>
          </w:tcPr>
          <w:p w14:paraId="081D5CED" w14:textId="77777777" w:rsidR="00502173" w:rsidRPr="00E90C16" w:rsidRDefault="00502173" w:rsidP="005D394E">
            <w:pPr>
              <w:keepLines/>
              <w:widowControl w:val="0"/>
              <w:jc w:val="center"/>
              <w:rPr>
                <w:rFonts w:cstheme="minorHAnsi"/>
                <w:sz w:val="20"/>
                <w:szCs w:val="20"/>
              </w:rPr>
            </w:pPr>
            <w:r w:rsidRPr="00E90C16">
              <w:rPr>
                <w:rFonts w:cstheme="minorHAnsi"/>
                <w:sz w:val="20"/>
                <w:szCs w:val="20"/>
              </w:rPr>
              <w:t>2.3</w:t>
            </w:r>
          </w:p>
        </w:tc>
        <w:tc>
          <w:tcPr>
            <w:tcW w:w="6120" w:type="dxa"/>
          </w:tcPr>
          <w:p w14:paraId="5A80C25D" w14:textId="582E2695" w:rsidR="003E41FE" w:rsidRPr="00E90C16" w:rsidRDefault="00502173" w:rsidP="005D394E">
            <w:pPr>
              <w:keepLines/>
              <w:widowControl w:val="0"/>
              <w:jc w:val="both"/>
              <w:rPr>
                <w:rFonts w:cstheme="minorHAnsi"/>
                <w:sz w:val="20"/>
                <w:szCs w:val="20"/>
              </w:rPr>
            </w:pPr>
            <w:r w:rsidRPr="00E90C16">
              <w:rPr>
                <w:rFonts w:cstheme="minorHAnsi"/>
                <w:b/>
                <w:color w:val="5B9BD5" w:themeColor="accent5"/>
                <w:sz w:val="20"/>
                <w:szCs w:val="20"/>
              </w:rPr>
              <w:t>O</w:t>
            </w:r>
            <w:r w:rsidR="00794511" w:rsidRPr="00E90C16">
              <w:rPr>
                <w:rFonts w:cstheme="minorHAnsi"/>
                <w:b/>
                <w:color w:val="5B9BD5" w:themeColor="accent5"/>
                <w:sz w:val="20"/>
                <w:szCs w:val="20"/>
              </w:rPr>
              <w:t xml:space="preserve">CCUPATIONAL </w:t>
            </w:r>
            <w:r w:rsidRPr="00E90C16">
              <w:rPr>
                <w:rFonts w:cstheme="minorHAnsi"/>
                <w:b/>
                <w:color w:val="5B9BD5" w:themeColor="accent5"/>
                <w:sz w:val="20"/>
                <w:szCs w:val="20"/>
              </w:rPr>
              <w:t>H</w:t>
            </w:r>
            <w:r w:rsidR="00794511" w:rsidRPr="00E90C16">
              <w:rPr>
                <w:rFonts w:cstheme="minorHAnsi"/>
                <w:b/>
                <w:color w:val="5B9BD5" w:themeColor="accent5"/>
                <w:sz w:val="20"/>
                <w:szCs w:val="20"/>
              </w:rPr>
              <w:t xml:space="preserve">EALTH AND </w:t>
            </w:r>
            <w:r w:rsidRPr="00E90C16">
              <w:rPr>
                <w:rFonts w:cstheme="minorHAnsi"/>
                <w:b/>
                <w:color w:val="5B9BD5" w:themeColor="accent5"/>
                <w:sz w:val="20"/>
                <w:szCs w:val="20"/>
              </w:rPr>
              <w:t>S</w:t>
            </w:r>
            <w:r w:rsidR="00794511" w:rsidRPr="00E90C16">
              <w:rPr>
                <w:rFonts w:cstheme="minorHAnsi"/>
                <w:b/>
                <w:color w:val="5B9BD5" w:themeColor="accent5"/>
                <w:sz w:val="20"/>
                <w:szCs w:val="20"/>
              </w:rPr>
              <w:t>AFETY (OHS)</w:t>
            </w:r>
            <w:r w:rsidRPr="00E90C16">
              <w:rPr>
                <w:rFonts w:cstheme="minorHAnsi"/>
                <w:b/>
                <w:color w:val="5B9BD5" w:themeColor="accent5"/>
                <w:sz w:val="20"/>
                <w:szCs w:val="20"/>
              </w:rPr>
              <w:t xml:space="preserve"> MEASURES</w:t>
            </w:r>
          </w:p>
          <w:p w14:paraId="09621633" w14:textId="49EF8EFD" w:rsidR="003517A7" w:rsidRPr="00543E5E" w:rsidRDefault="0026405C" w:rsidP="00543E5E">
            <w:pPr>
              <w:spacing w:before="120" w:after="120" w:line="276" w:lineRule="auto"/>
              <w:contextualSpacing/>
              <w:rPr>
                <w:rFonts w:cs="Calibri"/>
                <w:sz w:val="20"/>
                <w:szCs w:val="20"/>
              </w:rPr>
            </w:pPr>
            <w:r w:rsidRPr="00063497">
              <w:rPr>
                <w:rFonts w:cs="Calibri"/>
                <w:sz w:val="20"/>
                <w:szCs w:val="20"/>
              </w:rPr>
              <w:t xml:space="preserve">Where assessed </w:t>
            </w:r>
            <w:r w:rsidR="00D1084F" w:rsidRPr="00063497">
              <w:rPr>
                <w:rFonts w:cs="Calibri"/>
                <w:sz w:val="20"/>
                <w:szCs w:val="20"/>
              </w:rPr>
              <w:t xml:space="preserve">as </w:t>
            </w:r>
            <w:r w:rsidRPr="00063497">
              <w:rPr>
                <w:rFonts w:cs="Calibri"/>
                <w:sz w:val="20"/>
                <w:szCs w:val="20"/>
              </w:rPr>
              <w:t>necessary, implement</w:t>
            </w:r>
            <w:r w:rsidR="003517A7" w:rsidRPr="00543E5E">
              <w:rPr>
                <w:rFonts w:cs="Calibri"/>
                <w:sz w:val="20"/>
                <w:szCs w:val="20"/>
              </w:rPr>
              <w:t xml:space="preserve"> measures of protection at work and safety for jobs with increased risk of injury and damage to health, as well as organization of training for workers in such jobs,</w:t>
            </w:r>
          </w:p>
          <w:p w14:paraId="1746DBD9" w14:textId="07FC2AEE" w:rsidR="00502173" w:rsidRPr="00E90C16" w:rsidRDefault="003517A7" w:rsidP="003517A7">
            <w:pPr>
              <w:keepLines/>
              <w:widowControl w:val="0"/>
              <w:jc w:val="both"/>
              <w:rPr>
                <w:rFonts w:cstheme="minorHAnsi"/>
                <w:sz w:val="20"/>
                <w:szCs w:val="20"/>
              </w:rPr>
            </w:pPr>
            <w:r w:rsidRPr="00E90C16" w:rsidDel="003517A7">
              <w:rPr>
                <w:rFonts w:eastAsia="Times New Roman" w:cstheme="minorHAnsi"/>
                <w:bCs/>
                <w:color w:val="4472C4" w:themeColor="accent1"/>
                <w:sz w:val="20"/>
                <w:szCs w:val="20"/>
              </w:rPr>
              <w:t xml:space="preserve"> </w:t>
            </w:r>
          </w:p>
        </w:tc>
        <w:tc>
          <w:tcPr>
            <w:tcW w:w="3780" w:type="dxa"/>
          </w:tcPr>
          <w:p w14:paraId="53896C70" w14:textId="593A6B9A" w:rsidR="0026405C" w:rsidRPr="001F5F4A" w:rsidRDefault="0026405C" w:rsidP="0026405C">
            <w:pPr>
              <w:keepLines/>
              <w:widowControl w:val="0"/>
              <w:rPr>
                <w:rFonts w:cstheme="minorHAnsi"/>
                <w:sz w:val="20"/>
                <w:szCs w:val="20"/>
                <w:lang w:eastAsia="en-GB"/>
              </w:rPr>
            </w:pPr>
            <w:r w:rsidRPr="001F5F4A">
              <w:rPr>
                <w:rFonts w:cstheme="minorHAnsi"/>
                <w:sz w:val="20"/>
                <w:szCs w:val="20"/>
                <w:lang w:eastAsia="en-GB"/>
              </w:rPr>
              <w:t>Ongoing throughout project implementation</w:t>
            </w:r>
          </w:p>
          <w:p w14:paraId="556D95B2" w14:textId="4D359EBE" w:rsidR="00063497" w:rsidRPr="001F5F4A" w:rsidRDefault="00063497" w:rsidP="0026405C">
            <w:pPr>
              <w:keepLines/>
              <w:widowControl w:val="0"/>
              <w:rPr>
                <w:rFonts w:cstheme="minorHAnsi"/>
                <w:sz w:val="20"/>
                <w:szCs w:val="20"/>
                <w:lang w:eastAsia="en-GB"/>
              </w:rPr>
            </w:pPr>
            <w:r w:rsidRPr="001F5F4A">
              <w:rPr>
                <w:sz w:val="20"/>
                <w:szCs w:val="20"/>
              </w:rPr>
              <w:t>OHS measures are to be specified in each of the site specific ESMPs, where determined to be necessary by the Environmental and Social Screening and will be an integral part of such ESMP, that is subject to the timeframe defined in section 1.3</w:t>
            </w:r>
          </w:p>
          <w:p w14:paraId="146CDB64" w14:textId="34F85D31" w:rsidR="009C7C9E" w:rsidRPr="00E90C16" w:rsidRDefault="009C7C9E" w:rsidP="005D394E">
            <w:pPr>
              <w:keepLines/>
              <w:widowControl w:val="0"/>
              <w:rPr>
                <w:rFonts w:cstheme="minorHAnsi"/>
                <w:i/>
                <w:sz w:val="20"/>
                <w:szCs w:val="20"/>
              </w:rPr>
            </w:pPr>
          </w:p>
        </w:tc>
        <w:tc>
          <w:tcPr>
            <w:tcW w:w="3690" w:type="dxa"/>
          </w:tcPr>
          <w:p w14:paraId="2F2950B7" w14:textId="24E5A13A" w:rsidR="00502173" w:rsidRPr="00E90C16" w:rsidRDefault="00F375D9" w:rsidP="005D394E">
            <w:pPr>
              <w:keepLines/>
              <w:widowControl w:val="0"/>
              <w:rPr>
                <w:rFonts w:cstheme="minorHAnsi"/>
                <w:sz w:val="20"/>
                <w:szCs w:val="20"/>
              </w:rPr>
            </w:pPr>
            <w:r w:rsidRPr="001C6FB1">
              <w:rPr>
                <w:rFonts w:cstheme="minorHAnsi"/>
              </w:rPr>
              <w:t>MAFWM</w:t>
            </w:r>
          </w:p>
        </w:tc>
      </w:tr>
      <w:tr w:rsidR="00502173" w:rsidRPr="00E90C16" w14:paraId="19FB4073" w14:textId="77777777" w:rsidTr="00594521">
        <w:trPr>
          <w:cantSplit/>
          <w:trHeight w:val="20"/>
        </w:trPr>
        <w:tc>
          <w:tcPr>
            <w:tcW w:w="14305" w:type="dxa"/>
            <w:gridSpan w:val="4"/>
            <w:shd w:val="clear" w:color="auto" w:fill="F4B083" w:themeFill="accent2" w:themeFillTint="99"/>
          </w:tcPr>
          <w:p w14:paraId="5ADAE11F" w14:textId="348FEA23" w:rsidR="00502173" w:rsidRPr="00E90C16" w:rsidRDefault="00502173" w:rsidP="005D394E">
            <w:pPr>
              <w:keepLines/>
              <w:widowControl w:val="0"/>
              <w:rPr>
                <w:rFonts w:cstheme="minorHAnsi"/>
                <w:sz w:val="20"/>
                <w:szCs w:val="20"/>
              </w:rPr>
            </w:pPr>
            <w:r w:rsidRPr="00E90C16">
              <w:rPr>
                <w:rFonts w:cstheme="minorHAnsi"/>
                <w:b/>
                <w:sz w:val="20"/>
                <w:szCs w:val="20"/>
              </w:rPr>
              <w:t>ESS 3:  RESOURCE EFFICIENCY AND POLLUTION PREVENTION AND MANAGEMENT</w:t>
            </w:r>
            <w:r w:rsidR="00915F10" w:rsidRPr="00E90C16">
              <w:rPr>
                <w:rFonts w:cstheme="minorHAnsi"/>
                <w:b/>
                <w:sz w:val="20"/>
                <w:szCs w:val="20"/>
              </w:rPr>
              <w:t xml:space="preserve"> </w:t>
            </w:r>
            <w:r w:rsidR="00915F10" w:rsidRPr="00E90C16">
              <w:rPr>
                <w:rFonts w:cstheme="minorHAnsi"/>
                <w:sz w:val="20"/>
                <w:szCs w:val="20"/>
              </w:rPr>
              <w:t xml:space="preserve">[the relevance of ESS3 is established during the ESA process. ESS3 </w:t>
            </w:r>
            <w:r w:rsidR="00915F10" w:rsidRPr="00606EAE">
              <w:rPr>
                <w:rFonts w:cstheme="minorHAnsi"/>
                <w:sz w:val="20"/>
                <w:szCs w:val="20"/>
              </w:rPr>
              <w:t xml:space="preserve">may </w:t>
            </w:r>
            <w:r w:rsidR="000623D2" w:rsidRPr="00E90C16">
              <w:rPr>
                <w:rFonts w:cstheme="minorHAnsi"/>
                <w:sz w:val="20"/>
                <w:szCs w:val="20"/>
              </w:rPr>
              <w:t xml:space="preserve">require </w:t>
            </w:r>
            <w:r w:rsidR="00915F10" w:rsidRPr="00E90C16">
              <w:rPr>
                <w:rFonts w:cstheme="minorHAnsi"/>
                <w:sz w:val="20"/>
                <w:szCs w:val="20"/>
              </w:rPr>
              <w:t xml:space="preserve">the adoption of specific measures to cover energy, water and raw materials use, management of air pollution, hazardous and nonhazardous wastes, chemicals and hazardous materials and pesticides. Depending on the project, these measures may be set out in an E&amp;S document (e.g. ESMP) already mentioned in the section under ESS1 above or as a stand-alone document or a separate action. </w:t>
            </w:r>
            <w:r w:rsidR="000623D2" w:rsidRPr="00E90C16">
              <w:rPr>
                <w:rFonts w:cstheme="minorHAnsi"/>
                <w:sz w:val="20"/>
                <w:szCs w:val="20"/>
              </w:rPr>
              <w:t xml:space="preserve">Indicate </w:t>
            </w:r>
            <w:r w:rsidR="00915F10" w:rsidRPr="00E90C16">
              <w:rPr>
                <w:rFonts w:cstheme="minorHAnsi"/>
                <w:sz w:val="20"/>
                <w:szCs w:val="20"/>
              </w:rPr>
              <w:t>whether ESS3</w:t>
            </w:r>
            <w:r w:rsidR="000623D2" w:rsidRPr="00E90C16">
              <w:rPr>
                <w:rFonts w:cstheme="minorHAnsi"/>
                <w:sz w:val="20"/>
                <w:szCs w:val="20"/>
              </w:rPr>
              <w:t>-</w:t>
            </w:r>
            <w:r w:rsidR="00915F10" w:rsidRPr="00E90C16">
              <w:rPr>
                <w:rFonts w:cstheme="minorHAnsi"/>
                <w:sz w:val="20"/>
                <w:szCs w:val="20"/>
              </w:rPr>
              <w:t xml:space="preserve">related measures are covered under an existing document or as stand-alone actions. See </w:t>
            </w:r>
            <w:r w:rsidR="00915F10" w:rsidRPr="00E90C16">
              <w:rPr>
                <w:rFonts w:cstheme="minorHAnsi"/>
                <w:sz w:val="20"/>
                <w:szCs w:val="20"/>
                <w:u w:val="single"/>
              </w:rPr>
              <w:t>examples</w:t>
            </w:r>
            <w:r w:rsidR="00915F10" w:rsidRPr="00E90C16">
              <w:rPr>
                <w:rFonts w:cstheme="minorHAnsi"/>
                <w:sz w:val="20"/>
                <w:szCs w:val="20"/>
              </w:rPr>
              <w:t xml:space="preserve"> below].</w:t>
            </w:r>
          </w:p>
        </w:tc>
      </w:tr>
      <w:tr w:rsidR="00502173" w:rsidRPr="00E90C16" w14:paraId="60CF1380" w14:textId="77777777" w:rsidTr="00594521">
        <w:trPr>
          <w:cantSplit/>
          <w:trHeight w:val="20"/>
        </w:trPr>
        <w:tc>
          <w:tcPr>
            <w:tcW w:w="715" w:type="dxa"/>
          </w:tcPr>
          <w:p w14:paraId="719AFD1E" w14:textId="17B1DF3D" w:rsidR="00502173" w:rsidRPr="00E90C16" w:rsidRDefault="00D25D81" w:rsidP="005D394E">
            <w:pPr>
              <w:keepLines/>
              <w:widowControl w:val="0"/>
              <w:jc w:val="center"/>
              <w:rPr>
                <w:rFonts w:cstheme="minorHAnsi"/>
                <w:sz w:val="20"/>
                <w:szCs w:val="20"/>
              </w:rPr>
            </w:pPr>
            <w:r w:rsidRPr="00E90C16">
              <w:rPr>
                <w:rFonts w:cstheme="minorHAnsi"/>
                <w:sz w:val="20"/>
                <w:szCs w:val="20"/>
              </w:rPr>
              <w:t>3.1</w:t>
            </w:r>
          </w:p>
        </w:tc>
        <w:tc>
          <w:tcPr>
            <w:tcW w:w="6120" w:type="dxa"/>
          </w:tcPr>
          <w:p w14:paraId="3E5964BF" w14:textId="50169A0B" w:rsidR="00D25D81" w:rsidRPr="000F79B9" w:rsidRDefault="00D25D81" w:rsidP="00D25D81">
            <w:pPr>
              <w:autoSpaceDE w:val="0"/>
              <w:autoSpaceDN w:val="0"/>
              <w:adjustRightInd w:val="0"/>
              <w:rPr>
                <w:sz w:val="20"/>
                <w:szCs w:val="20"/>
              </w:rPr>
            </w:pPr>
            <w:r w:rsidRPr="0055393C">
              <w:rPr>
                <w:rFonts w:cstheme="minorHAnsi"/>
                <w:b/>
                <w:color w:val="5B9BD5" w:themeColor="accent5"/>
                <w:sz w:val="20"/>
                <w:szCs w:val="20"/>
              </w:rPr>
              <w:t>RESOURCE EFFICIENCY AND POLLUTION PREVENTION AND MANAGEMENT:</w:t>
            </w:r>
            <w:r w:rsidRPr="0055393C">
              <w:rPr>
                <w:rFonts w:cstheme="minorHAnsi"/>
                <w:sz w:val="20"/>
                <w:szCs w:val="20"/>
              </w:rPr>
              <w:t xml:space="preserve"> </w:t>
            </w:r>
            <w:r w:rsidRPr="000F79B9">
              <w:rPr>
                <w:sz w:val="20"/>
                <w:szCs w:val="20"/>
              </w:rPr>
              <w:t>Develop and implement measures and actions to manage water and energy efficiency, which shall be set out in the</w:t>
            </w:r>
          </w:p>
          <w:p w14:paraId="4A72D5F6" w14:textId="15462E42" w:rsidR="00D25D81" w:rsidRPr="000F79B9" w:rsidRDefault="00D25D81" w:rsidP="00D25D81">
            <w:pPr>
              <w:keepLines/>
              <w:widowControl w:val="0"/>
              <w:rPr>
                <w:sz w:val="20"/>
                <w:szCs w:val="20"/>
              </w:rPr>
            </w:pPr>
            <w:r w:rsidRPr="000F79B9">
              <w:rPr>
                <w:sz w:val="20"/>
                <w:szCs w:val="20"/>
              </w:rPr>
              <w:t>ESMF/site-specific ESMPs; develop and implement measures and actions to manage waste and hazardous materials, which shall be set out in the ESMF/site-specific ESMPs.</w:t>
            </w:r>
          </w:p>
          <w:p w14:paraId="69FC3392" w14:textId="4A4361FA" w:rsidR="0023728F" w:rsidRPr="0055393C" w:rsidRDefault="0023728F" w:rsidP="005D394E">
            <w:pPr>
              <w:keepLines/>
              <w:widowControl w:val="0"/>
              <w:rPr>
                <w:rFonts w:cstheme="minorHAnsi"/>
                <w:sz w:val="20"/>
                <w:szCs w:val="20"/>
              </w:rPr>
            </w:pPr>
          </w:p>
        </w:tc>
        <w:tc>
          <w:tcPr>
            <w:tcW w:w="3780" w:type="dxa"/>
          </w:tcPr>
          <w:p w14:paraId="0B534A33" w14:textId="312C6D94" w:rsidR="00502173" w:rsidRPr="000F79B9" w:rsidRDefault="00D25D81" w:rsidP="005D394E">
            <w:pPr>
              <w:keepLines/>
              <w:widowControl w:val="0"/>
              <w:rPr>
                <w:rFonts w:cstheme="minorHAnsi"/>
                <w:i/>
                <w:strike/>
                <w:sz w:val="20"/>
                <w:szCs w:val="20"/>
              </w:rPr>
            </w:pPr>
            <w:r w:rsidRPr="0055393C">
              <w:rPr>
                <w:rFonts w:cstheme="minorHAnsi"/>
                <w:sz w:val="20"/>
                <w:szCs w:val="20"/>
              </w:rPr>
              <w:t>Throughout Project implementation</w:t>
            </w:r>
          </w:p>
        </w:tc>
        <w:tc>
          <w:tcPr>
            <w:tcW w:w="3690" w:type="dxa"/>
          </w:tcPr>
          <w:p w14:paraId="1552380F" w14:textId="4370A9C6" w:rsidR="00502173" w:rsidRPr="0055393C" w:rsidRDefault="00F375D9" w:rsidP="005D394E">
            <w:pPr>
              <w:keepLines/>
              <w:widowControl w:val="0"/>
              <w:rPr>
                <w:rFonts w:cstheme="minorHAnsi"/>
                <w:sz w:val="20"/>
                <w:szCs w:val="20"/>
              </w:rPr>
            </w:pPr>
            <w:r w:rsidRPr="000F79B9">
              <w:rPr>
                <w:rFonts w:cstheme="minorHAnsi"/>
                <w:sz w:val="20"/>
                <w:szCs w:val="20"/>
              </w:rPr>
              <w:t>MAFWM</w:t>
            </w:r>
          </w:p>
        </w:tc>
      </w:tr>
      <w:tr w:rsidR="00DB01BC" w:rsidRPr="00E90C16" w14:paraId="2C991D67" w14:textId="77777777" w:rsidTr="00594521">
        <w:trPr>
          <w:cantSplit/>
          <w:trHeight w:val="20"/>
        </w:trPr>
        <w:tc>
          <w:tcPr>
            <w:tcW w:w="715" w:type="dxa"/>
          </w:tcPr>
          <w:p w14:paraId="5F76716A" w14:textId="19EEF1BC" w:rsidR="00DB01BC" w:rsidRPr="00E90C16" w:rsidRDefault="00D25D81" w:rsidP="005D394E">
            <w:pPr>
              <w:keepLines/>
              <w:widowControl w:val="0"/>
              <w:jc w:val="center"/>
              <w:rPr>
                <w:rFonts w:cstheme="minorHAnsi"/>
                <w:sz w:val="20"/>
                <w:szCs w:val="20"/>
              </w:rPr>
            </w:pPr>
            <w:r>
              <w:rPr>
                <w:rFonts w:cstheme="minorHAnsi"/>
                <w:sz w:val="20"/>
                <w:szCs w:val="20"/>
              </w:rPr>
              <w:t>3.2</w:t>
            </w:r>
          </w:p>
        </w:tc>
        <w:tc>
          <w:tcPr>
            <w:tcW w:w="6120" w:type="dxa"/>
          </w:tcPr>
          <w:p w14:paraId="73DCD2CD" w14:textId="77777777" w:rsidR="00D25D81" w:rsidRPr="000F79B9" w:rsidRDefault="00D25D81" w:rsidP="00D25D81">
            <w:pPr>
              <w:autoSpaceDE w:val="0"/>
              <w:autoSpaceDN w:val="0"/>
              <w:adjustRightInd w:val="0"/>
              <w:rPr>
                <w:sz w:val="20"/>
                <w:szCs w:val="20"/>
              </w:rPr>
            </w:pPr>
            <w:r w:rsidRPr="000F79B9">
              <w:rPr>
                <w:rFonts w:ascii="Calibri,Bold" w:hAnsi="Calibri,Bold" w:cs="Calibri,Bold"/>
                <w:b/>
                <w:bCs/>
                <w:color w:val="5B9CD6"/>
                <w:sz w:val="20"/>
                <w:szCs w:val="20"/>
              </w:rPr>
              <w:t xml:space="preserve">INTEGRATED PEST MANAGEMENT (IPM): </w:t>
            </w:r>
            <w:r w:rsidRPr="000F79B9">
              <w:rPr>
                <w:sz w:val="20"/>
                <w:szCs w:val="20"/>
              </w:rPr>
              <w:t>IPM check-lists and</w:t>
            </w:r>
          </w:p>
          <w:p w14:paraId="798FFBEE" w14:textId="6F88328A" w:rsidR="00D25D81" w:rsidRPr="000F79B9" w:rsidRDefault="00D25D81" w:rsidP="00D25D81">
            <w:pPr>
              <w:autoSpaceDE w:val="0"/>
              <w:autoSpaceDN w:val="0"/>
              <w:adjustRightInd w:val="0"/>
              <w:rPr>
                <w:sz w:val="20"/>
                <w:szCs w:val="20"/>
              </w:rPr>
            </w:pPr>
            <w:r w:rsidRPr="000F79B9">
              <w:rPr>
                <w:sz w:val="20"/>
                <w:szCs w:val="20"/>
              </w:rPr>
              <w:t>procedures for site-specific ESMPs as well as lists of</w:t>
            </w:r>
          </w:p>
          <w:p w14:paraId="5DE9D93B" w14:textId="3535057E" w:rsidR="00DB01BC" w:rsidRPr="0055393C" w:rsidRDefault="00D25D81" w:rsidP="000F79B9">
            <w:pPr>
              <w:autoSpaceDE w:val="0"/>
              <w:autoSpaceDN w:val="0"/>
              <w:adjustRightInd w:val="0"/>
              <w:rPr>
                <w:rFonts w:cstheme="minorHAnsi"/>
                <w:sz w:val="20"/>
                <w:szCs w:val="20"/>
              </w:rPr>
            </w:pPr>
            <w:r w:rsidRPr="000F79B9">
              <w:rPr>
                <w:sz w:val="20"/>
                <w:szCs w:val="20"/>
              </w:rPr>
              <w:t>acceptable pesticides will be included in the ESMF.</w:t>
            </w:r>
            <w:r w:rsidRPr="000F79B9">
              <w:rPr>
                <w:rFonts w:ascii="Calibri" w:hAnsi="Calibri" w:cs="Calibri"/>
                <w:color w:val="000000"/>
                <w:sz w:val="20"/>
                <w:szCs w:val="20"/>
              </w:rPr>
              <w:t xml:space="preserve"> </w:t>
            </w:r>
          </w:p>
        </w:tc>
        <w:tc>
          <w:tcPr>
            <w:tcW w:w="3780" w:type="dxa"/>
          </w:tcPr>
          <w:p w14:paraId="65A274F9" w14:textId="708F76EF" w:rsidR="00D25D81" w:rsidRPr="000F79B9" w:rsidRDefault="00D25D81" w:rsidP="00D25D81">
            <w:pPr>
              <w:autoSpaceDE w:val="0"/>
              <w:autoSpaceDN w:val="0"/>
              <w:adjustRightInd w:val="0"/>
              <w:rPr>
                <w:rFonts w:cstheme="minorHAnsi"/>
                <w:iCs/>
                <w:sz w:val="20"/>
                <w:szCs w:val="20"/>
              </w:rPr>
            </w:pPr>
            <w:r w:rsidRPr="000F79B9">
              <w:rPr>
                <w:rFonts w:cstheme="minorHAnsi"/>
                <w:iCs/>
                <w:sz w:val="20"/>
                <w:szCs w:val="20"/>
              </w:rPr>
              <w:t>ESMF already prepared.</w:t>
            </w:r>
          </w:p>
          <w:p w14:paraId="6F3F9196" w14:textId="5707B86A" w:rsidR="00DB01BC" w:rsidRPr="000F79B9" w:rsidDel="002D5209" w:rsidRDefault="00D25D81" w:rsidP="00D25D81">
            <w:pPr>
              <w:autoSpaceDE w:val="0"/>
              <w:autoSpaceDN w:val="0"/>
              <w:adjustRightInd w:val="0"/>
              <w:rPr>
                <w:rFonts w:cstheme="minorHAnsi"/>
                <w:iCs/>
                <w:sz w:val="20"/>
                <w:szCs w:val="20"/>
              </w:rPr>
            </w:pPr>
            <w:r w:rsidRPr="000F79B9">
              <w:rPr>
                <w:rFonts w:cstheme="minorHAnsi"/>
                <w:iCs/>
                <w:sz w:val="20"/>
                <w:szCs w:val="20"/>
              </w:rPr>
              <w:t>ESMPs to be prepared as indicated in action 1.3. throughout project implementation</w:t>
            </w:r>
          </w:p>
        </w:tc>
        <w:tc>
          <w:tcPr>
            <w:tcW w:w="3690" w:type="dxa"/>
          </w:tcPr>
          <w:p w14:paraId="74C10992" w14:textId="00BF774D" w:rsidR="00DB01BC" w:rsidRPr="0055393C" w:rsidRDefault="00F375D9" w:rsidP="005D394E">
            <w:pPr>
              <w:keepLines/>
              <w:widowControl w:val="0"/>
              <w:rPr>
                <w:rFonts w:cstheme="minorHAnsi"/>
                <w:sz w:val="20"/>
                <w:szCs w:val="20"/>
              </w:rPr>
            </w:pPr>
            <w:r w:rsidRPr="000F79B9">
              <w:rPr>
                <w:rFonts w:cstheme="minorHAnsi"/>
                <w:sz w:val="20"/>
                <w:szCs w:val="20"/>
              </w:rPr>
              <w:t>MAFWM</w:t>
            </w:r>
          </w:p>
        </w:tc>
      </w:tr>
    </w:tbl>
    <w:p w14:paraId="369BBEA1" w14:textId="5FE01B77" w:rsidR="007C5D74" w:rsidRPr="00543E5E" w:rsidRDefault="007C5D74">
      <w:pPr>
        <w:rPr>
          <w:sz w:val="20"/>
          <w:szCs w:val="20"/>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E90C16" w14:paraId="18022C35" w14:textId="77777777" w:rsidTr="00594521">
        <w:trPr>
          <w:cantSplit/>
          <w:trHeight w:val="20"/>
        </w:trPr>
        <w:tc>
          <w:tcPr>
            <w:tcW w:w="14305" w:type="dxa"/>
            <w:gridSpan w:val="4"/>
            <w:shd w:val="clear" w:color="auto" w:fill="F4B083" w:themeFill="accent2" w:themeFillTint="99"/>
          </w:tcPr>
          <w:p w14:paraId="28E5EEAD" w14:textId="7225FE5A" w:rsidR="00502173" w:rsidRPr="00E90C16" w:rsidRDefault="00502173" w:rsidP="005D394E">
            <w:pPr>
              <w:keepLines/>
              <w:widowControl w:val="0"/>
              <w:rPr>
                <w:rFonts w:cstheme="minorHAnsi"/>
                <w:sz w:val="20"/>
                <w:szCs w:val="20"/>
              </w:rPr>
            </w:pPr>
            <w:r w:rsidRPr="00E90C16">
              <w:rPr>
                <w:rFonts w:cstheme="minorHAnsi"/>
                <w:b/>
                <w:sz w:val="20"/>
                <w:szCs w:val="20"/>
              </w:rPr>
              <w:t>ESS 4:  COMMUNITY HEALTH AND SAFETY</w:t>
            </w:r>
            <w:r w:rsidR="00915F10" w:rsidRPr="00E90C16">
              <w:rPr>
                <w:rFonts w:cstheme="minorHAnsi"/>
                <w:b/>
                <w:sz w:val="20"/>
                <w:szCs w:val="20"/>
              </w:rPr>
              <w:t xml:space="preserve"> </w:t>
            </w:r>
            <w:r w:rsidR="00915F10" w:rsidRPr="00E90C16">
              <w:rPr>
                <w:rFonts w:cstheme="minorHAnsi"/>
                <w:sz w:val="20"/>
                <w:szCs w:val="20"/>
              </w:rPr>
              <w:t xml:space="preserve">[the relevance of ESS4 is established during the ESA process. As with ESS3, ESS4 may </w:t>
            </w:r>
            <w:r w:rsidR="000623D2" w:rsidRPr="00E90C16">
              <w:rPr>
                <w:rFonts w:cstheme="minorHAnsi"/>
                <w:sz w:val="20"/>
                <w:szCs w:val="20"/>
              </w:rPr>
              <w:t xml:space="preserve">require </w:t>
            </w:r>
            <w:r w:rsidR="00915F10" w:rsidRPr="00E90C16">
              <w:rPr>
                <w:rFonts w:cstheme="minorHAnsi"/>
                <w:sz w:val="20"/>
                <w:szCs w:val="20"/>
              </w:rPr>
              <w:t xml:space="preserve">the adoption of specific measures that may be set out in an E&amp;S document (e.g. ESMP) already mentioned in the section under ESS1 above or as a stand-alone document or a separate action. </w:t>
            </w:r>
            <w:r w:rsidR="000623D2" w:rsidRPr="00E90C16">
              <w:rPr>
                <w:rFonts w:cstheme="minorHAnsi"/>
                <w:sz w:val="20"/>
                <w:szCs w:val="20"/>
              </w:rPr>
              <w:t xml:space="preserve">Indicate </w:t>
            </w:r>
            <w:r w:rsidR="00501AA7" w:rsidRPr="00E90C16">
              <w:rPr>
                <w:rFonts w:cstheme="minorHAnsi"/>
                <w:sz w:val="20"/>
                <w:szCs w:val="20"/>
              </w:rPr>
              <w:t>whether ESS4</w:t>
            </w:r>
            <w:r w:rsidR="000623D2" w:rsidRPr="00E90C16">
              <w:rPr>
                <w:rFonts w:cstheme="minorHAnsi"/>
                <w:sz w:val="20"/>
                <w:szCs w:val="20"/>
              </w:rPr>
              <w:t>-</w:t>
            </w:r>
            <w:r w:rsidR="00501AA7" w:rsidRPr="00E90C16">
              <w:rPr>
                <w:rFonts w:cstheme="minorHAnsi"/>
                <w:sz w:val="20"/>
                <w:szCs w:val="20"/>
              </w:rPr>
              <w:t xml:space="preserve">related measures are covered under an existing document or as stand-alone actions. See </w:t>
            </w:r>
            <w:r w:rsidR="00501AA7" w:rsidRPr="00E90C16">
              <w:rPr>
                <w:rFonts w:cstheme="minorHAnsi"/>
                <w:sz w:val="20"/>
                <w:szCs w:val="20"/>
                <w:u w:val="single"/>
              </w:rPr>
              <w:t>examples</w:t>
            </w:r>
            <w:r w:rsidR="00501AA7" w:rsidRPr="00E90C16">
              <w:rPr>
                <w:rFonts w:cstheme="minorHAnsi"/>
                <w:sz w:val="20"/>
                <w:szCs w:val="20"/>
              </w:rPr>
              <w:t xml:space="preserve"> below</w:t>
            </w:r>
            <w:r w:rsidR="00915F10" w:rsidRPr="00E90C16">
              <w:rPr>
                <w:rFonts w:cstheme="minorHAnsi"/>
                <w:sz w:val="20"/>
                <w:szCs w:val="20"/>
              </w:rPr>
              <w:t>].</w:t>
            </w:r>
          </w:p>
        </w:tc>
      </w:tr>
      <w:tr w:rsidR="00DD251D" w:rsidRPr="00E90C16" w14:paraId="0B8FCE37" w14:textId="77777777" w:rsidTr="00594521">
        <w:trPr>
          <w:cantSplit/>
          <w:trHeight w:val="20"/>
        </w:trPr>
        <w:tc>
          <w:tcPr>
            <w:tcW w:w="715" w:type="dxa"/>
          </w:tcPr>
          <w:p w14:paraId="2D2B02CD" w14:textId="1241DC83" w:rsidR="00DD251D" w:rsidRPr="00E90C16" w:rsidRDefault="00DD251D" w:rsidP="00DD251D">
            <w:pPr>
              <w:keepLines/>
              <w:widowControl w:val="0"/>
              <w:jc w:val="center"/>
              <w:rPr>
                <w:rFonts w:cstheme="minorHAnsi"/>
                <w:sz w:val="20"/>
                <w:szCs w:val="20"/>
              </w:rPr>
            </w:pPr>
            <w:r>
              <w:rPr>
                <w:rFonts w:cstheme="minorHAnsi"/>
                <w:sz w:val="20"/>
                <w:szCs w:val="20"/>
              </w:rPr>
              <w:t>4.1</w:t>
            </w:r>
          </w:p>
        </w:tc>
        <w:tc>
          <w:tcPr>
            <w:tcW w:w="6120" w:type="dxa"/>
          </w:tcPr>
          <w:p w14:paraId="626F0A97" w14:textId="77777777" w:rsidR="00DD251D" w:rsidRPr="000F79B9" w:rsidRDefault="00DD251D" w:rsidP="00DD251D">
            <w:pPr>
              <w:autoSpaceDE w:val="0"/>
              <w:autoSpaceDN w:val="0"/>
              <w:adjustRightInd w:val="0"/>
              <w:rPr>
                <w:rFonts w:ascii="Calibri" w:hAnsi="Calibri" w:cs="Calibri"/>
                <w:color w:val="000000"/>
                <w:sz w:val="20"/>
                <w:szCs w:val="20"/>
              </w:rPr>
            </w:pPr>
            <w:r w:rsidRPr="000F79B9">
              <w:rPr>
                <w:rFonts w:ascii="Calibri,Bold" w:hAnsi="Calibri,Bold" w:cs="Calibri,Bold"/>
                <w:b/>
                <w:bCs/>
                <w:color w:val="5B9CD6"/>
                <w:sz w:val="20"/>
                <w:szCs w:val="20"/>
              </w:rPr>
              <w:t xml:space="preserve">COMMUNITY HEALTH AND SAFETY: </w:t>
            </w:r>
            <w:r w:rsidRPr="000F79B9">
              <w:rPr>
                <w:rFonts w:ascii="Calibri" w:hAnsi="Calibri" w:cs="Calibri"/>
                <w:color w:val="000000"/>
                <w:sz w:val="20"/>
                <w:szCs w:val="20"/>
              </w:rPr>
              <w:t>Develop and implement</w:t>
            </w:r>
          </w:p>
          <w:p w14:paraId="58F62563" w14:textId="77777777" w:rsidR="00DD251D" w:rsidRPr="000F79B9" w:rsidRDefault="00DD251D" w:rsidP="00DD251D">
            <w:pPr>
              <w:autoSpaceDE w:val="0"/>
              <w:autoSpaceDN w:val="0"/>
              <w:adjustRightInd w:val="0"/>
              <w:rPr>
                <w:rFonts w:ascii="Calibri" w:hAnsi="Calibri" w:cs="Calibri"/>
                <w:color w:val="000000"/>
                <w:sz w:val="20"/>
                <w:szCs w:val="20"/>
              </w:rPr>
            </w:pPr>
            <w:r w:rsidRPr="000F79B9">
              <w:rPr>
                <w:rFonts w:ascii="Calibri" w:hAnsi="Calibri" w:cs="Calibri"/>
                <w:color w:val="000000"/>
                <w:sz w:val="20"/>
                <w:szCs w:val="20"/>
              </w:rPr>
              <w:t>measures and action to assess and manage specific risks and</w:t>
            </w:r>
          </w:p>
          <w:p w14:paraId="1B60EF3D" w14:textId="77FC0C53" w:rsidR="00DD251D" w:rsidRPr="000F79B9" w:rsidRDefault="00DD251D" w:rsidP="00DD251D">
            <w:pPr>
              <w:autoSpaceDE w:val="0"/>
              <w:autoSpaceDN w:val="0"/>
              <w:adjustRightInd w:val="0"/>
              <w:rPr>
                <w:rFonts w:ascii="Calibri" w:hAnsi="Calibri" w:cs="Calibri"/>
                <w:color w:val="000000"/>
                <w:sz w:val="20"/>
                <w:szCs w:val="20"/>
              </w:rPr>
            </w:pPr>
            <w:r w:rsidRPr="000F79B9">
              <w:rPr>
                <w:rFonts w:ascii="Calibri" w:hAnsi="Calibri" w:cs="Calibri"/>
                <w:color w:val="000000"/>
                <w:sz w:val="20"/>
                <w:szCs w:val="20"/>
              </w:rPr>
              <w:t>impacts to the community (small and medium farms) arising from Project activities, which shall be set out in the ESMF including in relation to Project workers and any risks of labor influx.</w:t>
            </w:r>
          </w:p>
        </w:tc>
        <w:tc>
          <w:tcPr>
            <w:tcW w:w="3780" w:type="dxa"/>
          </w:tcPr>
          <w:p w14:paraId="121F6EC9" w14:textId="4EFDEB83" w:rsidR="00DD251D" w:rsidRPr="0055393C" w:rsidRDefault="00DD251D" w:rsidP="00DD251D">
            <w:pPr>
              <w:keepLines/>
              <w:widowControl w:val="0"/>
              <w:rPr>
                <w:rFonts w:cstheme="minorHAnsi"/>
                <w:i/>
                <w:sz w:val="20"/>
                <w:szCs w:val="20"/>
              </w:rPr>
            </w:pPr>
            <w:r w:rsidRPr="0055393C">
              <w:rPr>
                <w:rFonts w:cstheme="minorHAnsi"/>
                <w:sz w:val="20"/>
                <w:szCs w:val="20"/>
              </w:rPr>
              <w:t>Throughout Project implementation</w:t>
            </w:r>
          </w:p>
        </w:tc>
        <w:tc>
          <w:tcPr>
            <w:tcW w:w="3690" w:type="dxa"/>
          </w:tcPr>
          <w:p w14:paraId="5AE9C6B2" w14:textId="7E40CD17" w:rsidR="00DD251D" w:rsidRPr="0055393C" w:rsidRDefault="00DD251D" w:rsidP="00DD251D">
            <w:pPr>
              <w:keepLines/>
              <w:widowControl w:val="0"/>
              <w:rPr>
                <w:rFonts w:cstheme="minorHAnsi"/>
                <w:sz w:val="20"/>
                <w:szCs w:val="20"/>
              </w:rPr>
            </w:pPr>
            <w:r w:rsidRPr="000F79B9">
              <w:rPr>
                <w:rFonts w:cstheme="minorHAnsi"/>
                <w:sz w:val="20"/>
                <w:szCs w:val="20"/>
              </w:rPr>
              <w:t>MAFWM</w:t>
            </w:r>
          </w:p>
        </w:tc>
      </w:tr>
      <w:tr w:rsidR="00DD251D" w:rsidRPr="00E90C16" w14:paraId="31791DD8" w14:textId="77777777" w:rsidTr="00594521">
        <w:trPr>
          <w:cantSplit/>
          <w:trHeight w:val="20"/>
        </w:trPr>
        <w:tc>
          <w:tcPr>
            <w:tcW w:w="715" w:type="dxa"/>
          </w:tcPr>
          <w:p w14:paraId="116FC1AC" w14:textId="5FB536CA" w:rsidR="00DD251D" w:rsidRPr="00E90C16" w:rsidRDefault="00DD251D" w:rsidP="00DD251D">
            <w:pPr>
              <w:keepLines/>
              <w:widowControl w:val="0"/>
              <w:jc w:val="center"/>
              <w:rPr>
                <w:rFonts w:cstheme="minorHAnsi"/>
                <w:sz w:val="20"/>
                <w:szCs w:val="20"/>
              </w:rPr>
            </w:pPr>
            <w:r>
              <w:rPr>
                <w:rFonts w:cstheme="minorHAnsi"/>
                <w:sz w:val="20"/>
                <w:szCs w:val="20"/>
              </w:rPr>
              <w:t>4.2</w:t>
            </w:r>
          </w:p>
        </w:tc>
        <w:tc>
          <w:tcPr>
            <w:tcW w:w="6120" w:type="dxa"/>
          </w:tcPr>
          <w:p w14:paraId="036581DD" w14:textId="7EF8CF1C" w:rsidR="00DD251D" w:rsidRPr="000F79B9" w:rsidRDefault="00DD251D" w:rsidP="00DD251D">
            <w:pPr>
              <w:autoSpaceDE w:val="0"/>
              <w:autoSpaceDN w:val="0"/>
              <w:adjustRightInd w:val="0"/>
              <w:rPr>
                <w:rFonts w:ascii="Calibri" w:hAnsi="Calibri" w:cs="Calibri"/>
                <w:color w:val="000000"/>
                <w:sz w:val="20"/>
                <w:szCs w:val="20"/>
              </w:rPr>
            </w:pPr>
            <w:r w:rsidRPr="000F79B9">
              <w:rPr>
                <w:rFonts w:ascii="Calibri,Bold" w:hAnsi="Calibri,Bold" w:cs="Calibri,Bold"/>
                <w:b/>
                <w:bCs/>
                <w:color w:val="5B9CD6"/>
                <w:sz w:val="20"/>
                <w:szCs w:val="20"/>
              </w:rPr>
              <w:t xml:space="preserve">COMMUNITY AWARENESS: </w:t>
            </w:r>
            <w:r w:rsidRPr="000F79B9">
              <w:rPr>
                <w:rFonts w:ascii="Calibri" w:hAnsi="Calibri" w:cs="Calibri"/>
                <w:color w:val="000000"/>
                <w:sz w:val="20"/>
                <w:szCs w:val="20"/>
              </w:rPr>
              <w:t>Conduct community capacity</w:t>
            </w:r>
          </w:p>
          <w:p w14:paraId="6833BD38" w14:textId="77777777" w:rsidR="00DD251D" w:rsidRPr="000F79B9" w:rsidRDefault="00DD251D" w:rsidP="00DD251D">
            <w:pPr>
              <w:autoSpaceDE w:val="0"/>
              <w:autoSpaceDN w:val="0"/>
              <w:adjustRightInd w:val="0"/>
              <w:rPr>
                <w:rFonts w:ascii="Calibri" w:hAnsi="Calibri" w:cs="Calibri"/>
                <w:color w:val="000000"/>
                <w:sz w:val="20"/>
                <w:szCs w:val="20"/>
              </w:rPr>
            </w:pPr>
            <w:r w:rsidRPr="000F79B9">
              <w:rPr>
                <w:rFonts w:ascii="Calibri" w:hAnsi="Calibri" w:cs="Calibri"/>
                <w:color w:val="000000"/>
                <w:sz w:val="20"/>
                <w:szCs w:val="20"/>
              </w:rPr>
              <w:t>building to heighten awareness of risks and to mitigate impacts</w:t>
            </w:r>
          </w:p>
          <w:p w14:paraId="23EF078E" w14:textId="77777777" w:rsidR="00DD251D" w:rsidRPr="000F79B9" w:rsidRDefault="00DD251D" w:rsidP="00DD251D">
            <w:pPr>
              <w:autoSpaceDE w:val="0"/>
              <w:autoSpaceDN w:val="0"/>
              <w:adjustRightInd w:val="0"/>
              <w:rPr>
                <w:rFonts w:ascii="Calibri" w:hAnsi="Calibri" w:cs="Calibri"/>
                <w:color w:val="000000"/>
                <w:sz w:val="20"/>
                <w:szCs w:val="20"/>
              </w:rPr>
            </w:pPr>
            <w:r w:rsidRPr="000F79B9">
              <w:rPr>
                <w:rFonts w:ascii="Calibri" w:hAnsi="Calibri" w:cs="Calibri"/>
                <w:color w:val="000000"/>
                <w:sz w:val="20"/>
                <w:szCs w:val="20"/>
              </w:rPr>
              <w:t>as outlined in the SEP, training section of the POM, and the</w:t>
            </w:r>
          </w:p>
          <w:p w14:paraId="07659637" w14:textId="24018FE1" w:rsidR="00DD251D" w:rsidRPr="0055393C" w:rsidRDefault="00DD251D" w:rsidP="00DD251D">
            <w:pPr>
              <w:keepLines/>
              <w:widowControl w:val="0"/>
              <w:rPr>
                <w:rFonts w:cstheme="minorHAnsi"/>
                <w:sz w:val="20"/>
                <w:szCs w:val="20"/>
                <w:highlight w:val="yellow"/>
              </w:rPr>
            </w:pPr>
            <w:r w:rsidRPr="000F79B9">
              <w:rPr>
                <w:rFonts w:ascii="Calibri" w:hAnsi="Calibri" w:cs="Calibri"/>
                <w:color w:val="000000"/>
                <w:sz w:val="20"/>
                <w:szCs w:val="20"/>
              </w:rPr>
              <w:t>Project’s annual Training Plan.</w:t>
            </w:r>
          </w:p>
        </w:tc>
        <w:tc>
          <w:tcPr>
            <w:tcW w:w="3780" w:type="dxa"/>
          </w:tcPr>
          <w:p w14:paraId="5F406E55" w14:textId="002624A6" w:rsidR="00DD251D" w:rsidRPr="000F79B9" w:rsidRDefault="00DD251D" w:rsidP="00DD251D">
            <w:pPr>
              <w:keepLines/>
              <w:widowControl w:val="0"/>
              <w:rPr>
                <w:rFonts w:cstheme="minorHAnsi"/>
                <w:i/>
                <w:sz w:val="20"/>
                <w:szCs w:val="20"/>
              </w:rPr>
            </w:pPr>
            <w:r w:rsidRPr="0055393C">
              <w:rPr>
                <w:rFonts w:cstheme="minorHAnsi"/>
                <w:sz w:val="20"/>
                <w:szCs w:val="20"/>
              </w:rPr>
              <w:t>Throughout Project implementation</w:t>
            </w:r>
          </w:p>
        </w:tc>
        <w:tc>
          <w:tcPr>
            <w:tcW w:w="3690" w:type="dxa"/>
          </w:tcPr>
          <w:p w14:paraId="45D58F1E" w14:textId="52589F9D" w:rsidR="00DD251D" w:rsidRPr="0055393C" w:rsidRDefault="00DD251D" w:rsidP="00DD251D">
            <w:pPr>
              <w:keepLines/>
              <w:widowControl w:val="0"/>
              <w:rPr>
                <w:rFonts w:cstheme="minorHAnsi"/>
                <w:sz w:val="20"/>
                <w:szCs w:val="20"/>
              </w:rPr>
            </w:pPr>
            <w:r w:rsidRPr="000F79B9">
              <w:rPr>
                <w:rFonts w:cstheme="minorHAnsi"/>
                <w:sz w:val="20"/>
                <w:szCs w:val="20"/>
              </w:rPr>
              <w:t>MAFWM</w:t>
            </w:r>
          </w:p>
        </w:tc>
      </w:tr>
    </w:tbl>
    <w:p w14:paraId="239CB251" w14:textId="4BAD09A6" w:rsidR="007C5D74" w:rsidRPr="00543E5E" w:rsidRDefault="007C5D74">
      <w:pPr>
        <w:rPr>
          <w:sz w:val="20"/>
          <w:szCs w:val="20"/>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E90C16" w14:paraId="43B229A2" w14:textId="77777777" w:rsidTr="00594521">
        <w:trPr>
          <w:cantSplit/>
          <w:trHeight w:val="20"/>
        </w:trPr>
        <w:tc>
          <w:tcPr>
            <w:tcW w:w="14305" w:type="dxa"/>
            <w:gridSpan w:val="4"/>
            <w:shd w:val="clear" w:color="auto" w:fill="F4B083" w:themeFill="accent2" w:themeFillTint="99"/>
          </w:tcPr>
          <w:p w14:paraId="49B8701F" w14:textId="78EA9091" w:rsidR="00502173" w:rsidRPr="00E90C16" w:rsidRDefault="00502173" w:rsidP="005D394E">
            <w:pPr>
              <w:keepLines/>
              <w:widowControl w:val="0"/>
              <w:rPr>
                <w:rFonts w:cstheme="minorHAnsi"/>
                <w:sz w:val="20"/>
                <w:szCs w:val="20"/>
              </w:rPr>
            </w:pPr>
            <w:r w:rsidRPr="00E90C16">
              <w:rPr>
                <w:rFonts w:cstheme="minorHAnsi"/>
                <w:b/>
                <w:sz w:val="20"/>
                <w:szCs w:val="20"/>
              </w:rPr>
              <w:t>ESS 5:  LAND ACQUISITION, RESTRICTIONS ON LAND USE AND INVOLUNTARY RESETTLEMENT</w:t>
            </w:r>
            <w:r w:rsidR="006D2168" w:rsidRPr="00E90C16">
              <w:rPr>
                <w:rFonts w:cstheme="minorHAnsi"/>
                <w:b/>
                <w:sz w:val="20"/>
                <w:szCs w:val="20"/>
              </w:rPr>
              <w:t xml:space="preserve"> </w:t>
            </w:r>
            <w:r w:rsidR="006D2168" w:rsidRPr="00E90C16">
              <w:rPr>
                <w:rFonts w:cstheme="minorHAnsi"/>
                <w:sz w:val="20"/>
                <w:szCs w:val="20"/>
              </w:rPr>
              <w:t xml:space="preserve">[the relevance of ESS5 is established during the ESA process. If during Project preparation, it is determined that resettlement documents need to be prepared, this should be reflected in the ESCP. See </w:t>
            </w:r>
            <w:r w:rsidR="006D2168" w:rsidRPr="00E90C16">
              <w:rPr>
                <w:rFonts w:cstheme="minorHAnsi"/>
                <w:sz w:val="20"/>
                <w:szCs w:val="20"/>
                <w:u w:val="single"/>
              </w:rPr>
              <w:t>examples</w:t>
            </w:r>
            <w:r w:rsidR="006D2168" w:rsidRPr="00E90C16">
              <w:rPr>
                <w:rFonts w:cstheme="minorHAnsi"/>
                <w:sz w:val="20"/>
                <w:szCs w:val="20"/>
              </w:rPr>
              <w:t xml:space="preserve"> below]</w:t>
            </w:r>
          </w:p>
        </w:tc>
      </w:tr>
      <w:tr w:rsidR="00502173" w:rsidRPr="00E90C16" w14:paraId="7E1E5881" w14:textId="77777777" w:rsidTr="00594521">
        <w:trPr>
          <w:cantSplit/>
          <w:trHeight w:val="20"/>
        </w:trPr>
        <w:tc>
          <w:tcPr>
            <w:tcW w:w="715" w:type="dxa"/>
          </w:tcPr>
          <w:p w14:paraId="76E6CB4C" w14:textId="4A4D99B5" w:rsidR="00502173" w:rsidRPr="00E90C16" w:rsidRDefault="00502173" w:rsidP="005D394E">
            <w:pPr>
              <w:keepLines/>
              <w:widowControl w:val="0"/>
              <w:jc w:val="center"/>
              <w:rPr>
                <w:rFonts w:cstheme="minorHAnsi"/>
                <w:sz w:val="20"/>
                <w:szCs w:val="20"/>
              </w:rPr>
            </w:pPr>
          </w:p>
        </w:tc>
        <w:tc>
          <w:tcPr>
            <w:tcW w:w="6120" w:type="dxa"/>
          </w:tcPr>
          <w:p w14:paraId="0F1215C7" w14:textId="3155B9D0" w:rsidR="00502173" w:rsidRPr="00E90C16" w:rsidRDefault="00373A51" w:rsidP="002D4AA2">
            <w:pPr>
              <w:keepLines/>
              <w:widowControl w:val="0"/>
              <w:rPr>
                <w:rFonts w:cstheme="minorHAnsi"/>
                <w:sz w:val="20"/>
                <w:szCs w:val="20"/>
                <w:u w:val="single"/>
              </w:rPr>
            </w:pPr>
            <w:r w:rsidRPr="00543E5E">
              <w:rPr>
                <w:b/>
                <w:sz w:val="20"/>
                <w:szCs w:val="20"/>
              </w:rPr>
              <w:t>Currently not relevant to the project</w:t>
            </w:r>
          </w:p>
        </w:tc>
        <w:tc>
          <w:tcPr>
            <w:tcW w:w="3780" w:type="dxa"/>
          </w:tcPr>
          <w:p w14:paraId="43DA2DD0" w14:textId="6A5EC7F4" w:rsidR="00502173" w:rsidRPr="00E90C16" w:rsidRDefault="00502173" w:rsidP="005D394E">
            <w:pPr>
              <w:keepLines/>
              <w:widowControl w:val="0"/>
              <w:jc w:val="both"/>
              <w:rPr>
                <w:rFonts w:cstheme="minorHAnsi"/>
                <w:i/>
                <w:sz w:val="20"/>
                <w:szCs w:val="20"/>
              </w:rPr>
            </w:pPr>
          </w:p>
        </w:tc>
        <w:tc>
          <w:tcPr>
            <w:tcW w:w="3690" w:type="dxa"/>
          </w:tcPr>
          <w:p w14:paraId="241C5915" w14:textId="77777777" w:rsidR="00502173" w:rsidRPr="00E90C16" w:rsidRDefault="00502173" w:rsidP="005D394E">
            <w:pPr>
              <w:keepLines/>
              <w:widowControl w:val="0"/>
              <w:rPr>
                <w:rFonts w:cstheme="minorHAnsi"/>
                <w:sz w:val="20"/>
                <w:szCs w:val="20"/>
              </w:rPr>
            </w:pPr>
          </w:p>
        </w:tc>
      </w:tr>
      <w:tr w:rsidR="00502173" w:rsidRPr="00E90C16" w14:paraId="27069D2E" w14:textId="77777777" w:rsidTr="00594521">
        <w:trPr>
          <w:cantSplit/>
          <w:trHeight w:val="20"/>
        </w:trPr>
        <w:tc>
          <w:tcPr>
            <w:tcW w:w="715" w:type="dxa"/>
          </w:tcPr>
          <w:p w14:paraId="4724B3F9" w14:textId="1E0E9ACF" w:rsidR="00502173" w:rsidRPr="00E90C16" w:rsidRDefault="00502173" w:rsidP="005D394E">
            <w:pPr>
              <w:keepLines/>
              <w:widowControl w:val="0"/>
              <w:jc w:val="center"/>
              <w:rPr>
                <w:rFonts w:cstheme="minorHAnsi"/>
                <w:sz w:val="20"/>
                <w:szCs w:val="20"/>
              </w:rPr>
            </w:pPr>
          </w:p>
        </w:tc>
        <w:tc>
          <w:tcPr>
            <w:tcW w:w="6120" w:type="dxa"/>
          </w:tcPr>
          <w:p w14:paraId="6619400E" w14:textId="17484361" w:rsidR="00502173" w:rsidRPr="00E90C16" w:rsidRDefault="00502173" w:rsidP="005D394E">
            <w:pPr>
              <w:keepLines/>
              <w:widowControl w:val="0"/>
              <w:rPr>
                <w:rFonts w:cstheme="minorHAnsi"/>
                <w:sz w:val="20"/>
                <w:szCs w:val="20"/>
              </w:rPr>
            </w:pPr>
          </w:p>
        </w:tc>
        <w:tc>
          <w:tcPr>
            <w:tcW w:w="3780" w:type="dxa"/>
          </w:tcPr>
          <w:p w14:paraId="71BB48CD" w14:textId="4B293E91" w:rsidR="00502173" w:rsidRPr="00E90C16" w:rsidRDefault="00502173" w:rsidP="005D394E">
            <w:pPr>
              <w:keepLines/>
              <w:widowControl w:val="0"/>
              <w:rPr>
                <w:rFonts w:cstheme="minorHAnsi"/>
                <w:i/>
                <w:sz w:val="20"/>
                <w:szCs w:val="20"/>
              </w:rPr>
            </w:pPr>
          </w:p>
        </w:tc>
        <w:tc>
          <w:tcPr>
            <w:tcW w:w="3690" w:type="dxa"/>
          </w:tcPr>
          <w:p w14:paraId="38E4DA02" w14:textId="77777777" w:rsidR="00502173" w:rsidRPr="00E90C16" w:rsidRDefault="00502173" w:rsidP="005D394E">
            <w:pPr>
              <w:keepLines/>
              <w:widowControl w:val="0"/>
              <w:rPr>
                <w:rFonts w:cstheme="minorHAnsi"/>
                <w:sz w:val="20"/>
                <w:szCs w:val="20"/>
              </w:rPr>
            </w:pPr>
          </w:p>
        </w:tc>
      </w:tr>
      <w:tr w:rsidR="00502173" w:rsidRPr="00E90C16" w14:paraId="423ACA0C" w14:textId="77777777" w:rsidTr="00594521">
        <w:trPr>
          <w:cantSplit/>
          <w:trHeight w:val="20"/>
        </w:trPr>
        <w:tc>
          <w:tcPr>
            <w:tcW w:w="14305" w:type="dxa"/>
            <w:gridSpan w:val="4"/>
            <w:shd w:val="clear" w:color="auto" w:fill="F4B083" w:themeFill="accent2" w:themeFillTint="99"/>
          </w:tcPr>
          <w:p w14:paraId="05E87770" w14:textId="6BBF61EB" w:rsidR="00502173" w:rsidRPr="00E90C16" w:rsidRDefault="00502173" w:rsidP="005D394E">
            <w:pPr>
              <w:keepLines/>
              <w:widowControl w:val="0"/>
              <w:rPr>
                <w:rFonts w:cstheme="minorHAnsi"/>
                <w:sz w:val="20"/>
                <w:szCs w:val="20"/>
              </w:rPr>
            </w:pPr>
            <w:r w:rsidRPr="00E90C16">
              <w:rPr>
                <w:rFonts w:cstheme="minorHAnsi"/>
                <w:b/>
                <w:sz w:val="20"/>
                <w:szCs w:val="20"/>
              </w:rPr>
              <w:t>ESS 6:  BIODIVERSITY CONSERVATION AND SUSTAINABLE MANAGEMENT OF LIVING NATURAL RESOURCES</w:t>
            </w:r>
            <w:r w:rsidR="006D2168" w:rsidRPr="00E90C16">
              <w:rPr>
                <w:rFonts w:cstheme="minorHAnsi"/>
                <w:b/>
                <w:sz w:val="20"/>
                <w:szCs w:val="20"/>
              </w:rPr>
              <w:t xml:space="preserve"> </w:t>
            </w:r>
            <w:r w:rsidR="006D2168" w:rsidRPr="00E90C16">
              <w:rPr>
                <w:rFonts w:cstheme="minorHAnsi"/>
                <w:sz w:val="20"/>
                <w:szCs w:val="20"/>
              </w:rPr>
              <w:t xml:space="preserve">[the relevance of ESS6 is established during the ESA process. As with other ESSs, ESS6 may </w:t>
            </w:r>
            <w:r w:rsidR="00B7260A" w:rsidRPr="00E90C16">
              <w:rPr>
                <w:rFonts w:cstheme="minorHAnsi"/>
                <w:sz w:val="20"/>
                <w:szCs w:val="20"/>
              </w:rPr>
              <w:t xml:space="preserve">require </w:t>
            </w:r>
            <w:r w:rsidR="006D2168" w:rsidRPr="00E90C16">
              <w:rPr>
                <w:rFonts w:cstheme="minorHAnsi"/>
                <w:sz w:val="20"/>
                <w:szCs w:val="20"/>
              </w:rPr>
              <w:t xml:space="preserve">the adoption of specific measures that may be set out in an E&amp;S document (e.g. ESMP) already mentioned in the section under ESS1 above or as a stand-alone document or a separate action. </w:t>
            </w:r>
            <w:r w:rsidR="00B773BD" w:rsidRPr="00E90C16">
              <w:rPr>
                <w:rFonts w:cstheme="minorHAnsi"/>
                <w:sz w:val="20"/>
                <w:szCs w:val="20"/>
              </w:rPr>
              <w:t xml:space="preserve">Indicate </w:t>
            </w:r>
            <w:r w:rsidR="00562414" w:rsidRPr="00E90C16">
              <w:rPr>
                <w:rFonts w:cstheme="minorHAnsi"/>
                <w:sz w:val="20"/>
                <w:szCs w:val="20"/>
              </w:rPr>
              <w:t>whether ESS6</w:t>
            </w:r>
            <w:r w:rsidR="00B773BD" w:rsidRPr="00E90C16">
              <w:rPr>
                <w:rFonts w:cstheme="minorHAnsi"/>
                <w:sz w:val="20"/>
                <w:szCs w:val="20"/>
              </w:rPr>
              <w:t>-</w:t>
            </w:r>
            <w:r w:rsidR="00562414" w:rsidRPr="00E90C16">
              <w:rPr>
                <w:rFonts w:cstheme="minorHAnsi"/>
                <w:sz w:val="20"/>
                <w:szCs w:val="20"/>
              </w:rPr>
              <w:t xml:space="preserve">related measures are covered under an existing document or as stand-alone actions. See </w:t>
            </w:r>
            <w:r w:rsidR="00562414" w:rsidRPr="00E90C16">
              <w:rPr>
                <w:rFonts w:cstheme="minorHAnsi"/>
                <w:sz w:val="20"/>
                <w:szCs w:val="20"/>
                <w:u w:val="single"/>
              </w:rPr>
              <w:t>examples</w:t>
            </w:r>
            <w:r w:rsidR="00562414" w:rsidRPr="00E90C16">
              <w:rPr>
                <w:rFonts w:cstheme="minorHAnsi"/>
                <w:sz w:val="20"/>
                <w:szCs w:val="20"/>
              </w:rPr>
              <w:t xml:space="preserve"> below].</w:t>
            </w:r>
          </w:p>
        </w:tc>
      </w:tr>
      <w:tr w:rsidR="008F1D5E" w:rsidRPr="00E90C16" w14:paraId="7D5B1E7D" w14:textId="77777777" w:rsidTr="00594521">
        <w:trPr>
          <w:cantSplit/>
          <w:trHeight w:val="20"/>
        </w:trPr>
        <w:tc>
          <w:tcPr>
            <w:tcW w:w="715" w:type="dxa"/>
          </w:tcPr>
          <w:p w14:paraId="12DA8B99" w14:textId="3802C881" w:rsidR="008F1D5E" w:rsidRPr="00381D53" w:rsidRDefault="008F1D5E" w:rsidP="008F1D5E">
            <w:pPr>
              <w:pStyle w:val="Normal-PRsubhead"/>
              <w:rPr>
                <w:sz w:val="22"/>
                <w:szCs w:val="22"/>
              </w:rPr>
            </w:pPr>
            <w:r w:rsidRPr="00381D53">
              <w:rPr>
                <w:sz w:val="22"/>
                <w:szCs w:val="22"/>
              </w:rPr>
              <w:t>6.1</w:t>
            </w:r>
          </w:p>
        </w:tc>
        <w:tc>
          <w:tcPr>
            <w:tcW w:w="6120" w:type="dxa"/>
          </w:tcPr>
          <w:p w14:paraId="652A229A" w14:textId="0AB590D9" w:rsidR="008F1D5E" w:rsidRPr="000F79B9" w:rsidRDefault="008F1D5E" w:rsidP="008F1D5E">
            <w:pPr>
              <w:autoSpaceDE w:val="0"/>
              <w:autoSpaceDN w:val="0"/>
              <w:adjustRightInd w:val="0"/>
              <w:rPr>
                <w:rFonts w:ascii="Calibri" w:hAnsi="Calibri" w:cs="Calibri"/>
                <w:color w:val="000000"/>
                <w:sz w:val="20"/>
                <w:szCs w:val="20"/>
              </w:rPr>
            </w:pPr>
            <w:r w:rsidRPr="000F79B9">
              <w:rPr>
                <w:rFonts w:ascii="Calibri,Bold" w:hAnsi="Calibri,Bold" w:cs="Calibri,Bold"/>
                <w:b/>
                <w:bCs/>
                <w:color w:val="5B9CD6"/>
                <w:sz w:val="20"/>
                <w:szCs w:val="20"/>
              </w:rPr>
              <w:t>BIODIVERSITY</w:t>
            </w:r>
            <w:r w:rsidRPr="000F79B9">
              <w:rPr>
                <w:rFonts w:ascii="Calibri" w:hAnsi="Calibri" w:cs="Calibri"/>
                <w:color w:val="000000"/>
                <w:sz w:val="20"/>
                <w:szCs w:val="20"/>
              </w:rPr>
              <w:t xml:space="preserve">: Include in the ESMF and site specific ESMPs a detailed summary of existing biodiversity </w:t>
            </w:r>
            <w:r w:rsidRPr="000F79B9">
              <w:rPr>
                <w:rFonts w:ascii="Calibri" w:hAnsi="Calibri" w:cs="Calibri"/>
                <w:sz w:val="20"/>
                <w:szCs w:val="20"/>
              </w:rPr>
              <w:t xml:space="preserve">in community agriculture related areas </w:t>
            </w:r>
            <w:r w:rsidRPr="000F79B9">
              <w:rPr>
                <w:rFonts w:ascii="Calibri" w:hAnsi="Calibri" w:cs="Calibri"/>
                <w:color w:val="000000"/>
                <w:sz w:val="20"/>
                <w:szCs w:val="20"/>
              </w:rPr>
              <w:t>as well as criteria for when needed site-specific ESMPs will require biodiversity assessments and mitigation measures.</w:t>
            </w:r>
          </w:p>
        </w:tc>
        <w:tc>
          <w:tcPr>
            <w:tcW w:w="3780" w:type="dxa"/>
          </w:tcPr>
          <w:p w14:paraId="28BF4439" w14:textId="77777777" w:rsidR="008F1D5E" w:rsidRPr="0055393C" w:rsidRDefault="008F1D5E" w:rsidP="008F1D5E">
            <w:pPr>
              <w:keepLines/>
              <w:widowControl w:val="0"/>
              <w:rPr>
                <w:rFonts w:cstheme="minorHAnsi"/>
                <w:sz w:val="20"/>
                <w:szCs w:val="20"/>
              </w:rPr>
            </w:pPr>
            <w:r w:rsidRPr="0055393C">
              <w:rPr>
                <w:rFonts w:cstheme="minorHAnsi"/>
                <w:sz w:val="20"/>
                <w:szCs w:val="20"/>
              </w:rPr>
              <w:t>Throughout Project implementation</w:t>
            </w:r>
          </w:p>
          <w:p w14:paraId="13769942" w14:textId="22C3984A" w:rsidR="008F1D5E" w:rsidRPr="000F79B9" w:rsidRDefault="008F1D5E" w:rsidP="008F1D5E">
            <w:pPr>
              <w:autoSpaceDE w:val="0"/>
              <w:autoSpaceDN w:val="0"/>
              <w:adjustRightInd w:val="0"/>
              <w:rPr>
                <w:rFonts w:ascii="Calibri,Italic" w:hAnsi="Calibri,Italic" w:cs="Calibri,Italic"/>
                <w:iCs/>
                <w:sz w:val="20"/>
                <w:szCs w:val="20"/>
              </w:rPr>
            </w:pPr>
            <w:r w:rsidRPr="000F79B9">
              <w:rPr>
                <w:rFonts w:ascii="Calibri,Italic" w:hAnsi="Calibri,Italic" w:cs="Calibri,Italic"/>
                <w:iCs/>
                <w:sz w:val="20"/>
                <w:szCs w:val="20"/>
              </w:rPr>
              <w:t xml:space="preserve">ESMF </w:t>
            </w:r>
            <w:r w:rsidR="003A5962" w:rsidRPr="000F79B9">
              <w:rPr>
                <w:rFonts w:ascii="Calibri,Italic" w:hAnsi="Calibri,Italic" w:cs="Calibri,Italic"/>
                <w:iCs/>
                <w:sz w:val="20"/>
                <w:szCs w:val="20"/>
              </w:rPr>
              <w:t xml:space="preserve">already </w:t>
            </w:r>
            <w:r w:rsidRPr="000F79B9">
              <w:rPr>
                <w:rFonts w:ascii="Calibri,Italic" w:hAnsi="Calibri,Italic" w:cs="Calibri,Italic"/>
                <w:iCs/>
                <w:sz w:val="20"/>
                <w:szCs w:val="20"/>
              </w:rPr>
              <w:t>prepared.</w:t>
            </w:r>
          </w:p>
          <w:p w14:paraId="496E9FB8" w14:textId="172C73EC" w:rsidR="008F1D5E" w:rsidRPr="000F79B9" w:rsidRDefault="008F1D5E" w:rsidP="008F1D5E">
            <w:pPr>
              <w:autoSpaceDE w:val="0"/>
              <w:autoSpaceDN w:val="0"/>
              <w:adjustRightInd w:val="0"/>
              <w:rPr>
                <w:rFonts w:ascii="Calibri,Italic" w:hAnsi="Calibri,Italic" w:cs="Calibri,Italic"/>
                <w:iCs/>
                <w:sz w:val="20"/>
                <w:szCs w:val="20"/>
              </w:rPr>
            </w:pPr>
            <w:r w:rsidRPr="000F79B9">
              <w:rPr>
                <w:rFonts w:ascii="Calibri,Italic" w:hAnsi="Calibri,Italic" w:cs="Calibri,Italic"/>
                <w:iCs/>
                <w:sz w:val="20"/>
                <w:szCs w:val="20"/>
              </w:rPr>
              <w:t>ESMPs to be prepared with such</w:t>
            </w:r>
          </w:p>
          <w:p w14:paraId="1C7E6CBA" w14:textId="60D1C318" w:rsidR="008F1D5E" w:rsidRPr="000F79B9" w:rsidRDefault="008F1D5E" w:rsidP="008F1D5E">
            <w:pPr>
              <w:autoSpaceDE w:val="0"/>
              <w:autoSpaceDN w:val="0"/>
              <w:adjustRightInd w:val="0"/>
              <w:rPr>
                <w:rFonts w:ascii="Calibri,Italic" w:hAnsi="Calibri,Italic" w:cs="Calibri,Italic"/>
                <w:iCs/>
                <w:sz w:val="20"/>
                <w:szCs w:val="20"/>
              </w:rPr>
            </w:pPr>
            <w:r w:rsidRPr="000F79B9">
              <w:rPr>
                <w:rFonts w:ascii="Calibri,Italic" w:hAnsi="Calibri,Italic" w:cs="Calibri,Italic"/>
                <w:iCs/>
                <w:sz w:val="20"/>
                <w:szCs w:val="20"/>
              </w:rPr>
              <w:t>information prior to any activities under the Project taking place.</w:t>
            </w:r>
          </w:p>
        </w:tc>
        <w:tc>
          <w:tcPr>
            <w:tcW w:w="3690" w:type="dxa"/>
          </w:tcPr>
          <w:p w14:paraId="391DDBEF" w14:textId="47514F90" w:rsidR="008F1D5E" w:rsidRPr="00381D53" w:rsidRDefault="008F1D5E" w:rsidP="008F1D5E">
            <w:pPr>
              <w:keepLines/>
              <w:widowControl w:val="0"/>
              <w:rPr>
                <w:rFonts w:cstheme="minorHAnsi"/>
              </w:rPr>
            </w:pPr>
            <w:r w:rsidRPr="001C6FB1">
              <w:rPr>
                <w:rFonts w:cstheme="minorHAnsi"/>
              </w:rPr>
              <w:t>MAFWM</w:t>
            </w:r>
          </w:p>
        </w:tc>
      </w:tr>
      <w:tr w:rsidR="008F1D5E" w:rsidRPr="00E90C16" w14:paraId="4D5523F9" w14:textId="77777777" w:rsidTr="00FA0A88">
        <w:trPr>
          <w:cantSplit/>
          <w:trHeight w:val="602"/>
        </w:trPr>
        <w:tc>
          <w:tcPr>
            <w:tcW w:w="14305" w:type="dxa"/>
            <w:gridSpan w:val="4"/>
            <w:shd w:val="clear" w:color="auto" w:fill="F4B083" w:themeFill="accent2" w:themeFillTint="99"/>
          </w:tcPr>
          <w:p w14:paraId="6D1B59E9" w14:textId="4D71A2D8" w:rsidR="008F1D5E" w:rsidRPr="00E90C16" w:rsidRDefault="008F1D5E" w:rsidP="008F1D5E">
            <w:pPr>
              <w:keepLines/>
              <w:widowControl w:val="0"/>
              <w:rPr>
                <w:rFonts w:cstheme="minorHAnsi"/>
                <w:sz w:val="20"/>
                <w:szCs w:val="20"/>
              </w:rPr>
            </w:pPr>
            <w:r w:rsidRPr="00E90C16">
              <w:rPr>
                <w:rFonts w:cstheme="minorHAnsi"/>
                <w:b/>
                <w:sz w:val="20"/>
                <w:szCs w:val="20"/>
              </w:rPr>
              <w:t xml:space="preserve">ESS 7: INDIGENOUS PEOPLES/SUB-SAHARAN AFRICAN HISTORICALLY UNDERSERVED TRADITIONAL LOCAL COMMUNITIES </w:t>
            </w:r>
            <w:r w:rsidRPr="00E90C16">
              <w:rPr>
                <w:rFonts w:cstheme="minorHAnsi"/>
                <w:sz w:val="20"/>
                <w:szCs w:val="20"/>
              </w:rPr>
              <w:t>[See examples of possible actions below, if determined that ESS7 is relevant].</w:t>
            </w:r>
          </w:p>
        </w:tc>
      </w:tr>
      <w:tr w:rsidR="008F1D5E" w:rsidRPr="00E90C16" w14:paraId="3C782AFA" w14:textId="77777777" w:rsidTr="00594521">
        <w:trPr>
          <w:cantSplit/>
          <w:trHeight w:val="20"/>
        </w:trPr>
        <w:tc>
          <w:tcPr>
            <w:tcW w:w="715" w:type="dxa"/>
          </w:tcPr>
          <w:p w14:paraId="799A0A11" w14:textId="7AA50336" w:rsidR="008F1D5E" w:rsidRPr="00E90C16" w:rsidRDefault="008F1D5E" w:rsidP="008F1D5E">
            <w:pPr>
              <w:pStyle w:val="Normal-PRsubhead"/>
            </w:pPr>
          </w:p>
        </w:tc>
        <w:tc>
          <w:tcPr>
            <w:tcW w:w="6120" w:type="dxa"/>
          </w:tcPr>
          <w:p w14:paraId="67F1232C" w14:textId="6771E3CC" w:rsidR="008F1D5E" w:rsidRPr="00E90C16" w:rsidRDefault="008F1D5E" w:rsidP="008F1D5E">
            <w:pPr>
              <w:keepLines/>
              <w:widowControl w:val="0"/>
              <w:rPr>
                <w:rFonts w:cstheme="minorHAnsi"/>
                <w:sz w:val="20"/>
                <w:szCs w:val="20"/>
              </w:rPr>
            </w:pPr>
            <w:r w:rsidRPr="00543E5E">
              <w:rPr>
                <w:b/>
                <w:sz w:val="20"/>
                <w:szCs w:val="20"/>
              </w:rPr>
              <w:t>Currently not relevant to the project</w:t>
            </w:r>
          </w:p>
        </w:tc>
        <w:tc>
          <w:tcPr>
            <w:tcW w:w="3780" w:type="dxa"/>
          </w:tcPr>
          <w:p w14:paraId="158CA88D" w14:textId="0E9ADBF6" w:rsidR="008F1D5E" w:rsidRPr="00E90C16" w:rsidRDefault="008F1D5E" w:rsidP="008F1D5E">
            <w:pPr>
              <w:keepLines/>
              <w:widowControl w:val="0"/>
              <w:rPr>
                <w:rFonts w:cstheme="minorHAnsi"/>
                <w:i/>
                <w:sz w:val="20"/>
                <w:szCs w:val="20"/>
              </w:rPr>
            </w:pPr>
          </w:p>
        </w:tc>
        <w:tc>
          <w:tcPr>
            <w:tcW w:w="3690" w:type="dxa"/>
          </w:tcPr>
          <w:p w14:paraId="502AD834" w14:textId="77777777" w:rsidR="008F1D5E" w:rsidRPr="00E90C16" w:rsidRDefault="008F1D5E" w:rsidP="008F1D5E">
            <w:pPr>
              <w:keepLines/>
              <w:widowControl w:val="0"/>
              <w:rPr>
                <w:rFonts w:cstheme="minorHAnsi"/>
                <w:sz w:val="20"/>
                <w:szCs w:val="20"/>
              </w:rPr>
            </w:pPr>
          </w:p>
        </w:tc>
      </w:tr>
      <w:tr w:rsidR="008F1D5E" w:rsidRPr="00E90C16" w14:paraId="113890EA" w14:textId="77777777" w:rsidTr="00594521">
        <w:trPr>
          <w:cantSplit/>
          <w:trHeight w:val="20"/>
        </w:trPr>
        <w:tc>
          <w:tcPr>
            <w:tcW w:w="715" w:type="dxa"/>
          </w:tcPr>
          <w:p w14:paraId="691596EE" w14:textId="27793052" w:rsidR="008F1D5E" w:rsidRPr="00E90C16" w:rsidRDefault="008F1D5E" w:rsidP="008F1D5E">
            <w:pPr>
              <w:pStyle w:val="Normal-PRsubhead"/>
            </w:pPr>
          </w:p>
        </w:tc>
        <w:tc>
          <w:tcPr>
            <w:tcW w:w="6120" w:type="dxa"/>
          </w:tcPr>
          <w:p w14:paraId="7C4C07B1" w14:textId="0DD9E14D" w:rsidR="008F1D5E" w:rsidRPr="00E90C16" w:rsidRDefault="008F1D5E" w:rsidP="008F1D5E">
            <w:pPr>
              <w:pStyle w:val="Normal-PRsubhead"/>
            </w:pPr>
          </w:p>
        </w:tc>
        <w:tc>
          <w:tcPr>
            <w:tcW w:w="3780" w:type="dxa"/>
          </w:tcPr>
          <w:p w14:paraId="0BD00C56" w14:textId="6583D6F2" w:rsidR="008F1D5E" w:rsidRPr="00E90C16" w:rsidRDefault="008F1D5E" w:rsidP="008F1D5E">
            <w:pPr>
              <w:keepLines/>
              <w:widowControl w:val="0"/>
              <w:rPr>
                <w:rFonts w:cstheme="minorHAnsi"/>
                <w:i/>
                <w:sz w:val="20"/>
                <w:szCs w:val="20"/>
              </w:rPr>
            </w:pPr>
          </w:p>
        </w:tc>
        <w:tc>
          <w:tcPr>
            <w:tcW w:w="3690" w:type="dxa"/>
          </w:tcPr>
          <w:p w14:paraId="4775FC9C" w14:textId="77777777" w:rsidR="008F1D5E" w:rsidRPr="00E90C16" w:rsidRDefault="008F1D5E" w:rsidP="008F1D5E">
            <w:pPr>
              <w:keepLines/>
              <w:widowControl w:val="0"/>
              <w:rPr>
                <w:rFonts w:cstheme="minorHAnsi"/>
                <w:sz w:val="20"/>
                <w:szCs w:val="20"/>
              </w:rPr>
            </w:pPr>
          </w:p>
        </w:tc>
      </w:tr>
      <w:tr w:rsidR="008F1D5E" w:rsidRPr="00E90C16" w14:paraId="10635F8A" w14:textId="77777777" w:rsidTr="00594521">
        <w:trPr>
          <w:cantSplit/>
          <w:trHeight w:val="20"/>
        </w:trPr>
        <w:tc>
          <w:tcPr>
            <w:tcW w:w="14305" w:type="dxa"/>
            <w:gridSpan w:val="4"/>
            <w:shd w:val="clear" w:color="auto" w:fill="F4B083" w:themeFill="accent2" w:themeFillTint="99"/>
          </w:tcPr>
          <w:p w14:paraId="39E7E5B0" w14:textId="0266FC6A" w:rsidR="008F1D5E" w:rsidRPr="00E90C16" w:rsidRDefault="008F1D5E" w:rsidP="008F1D5E">
            <w:pPr>
              <w:keepLines/>
              <w:widowControl w:val="0"/>
              <w:rPr>
                <w:rFonts w:cstheme="minorHAnsi"/>
                <w:sz w:val="20"/>
                <w:szCs w:val="20"/>
              </w:rPr>
            </w:pPr>
            <w:r w:rsidRPr="00E90C16">
              <w:rPr>
                <w:rFonts w:cstheme="minorHAnsi"/>
                <w:b/>
                <w:sz w:val="20"/>
                <w:szCs w:val="20"/>
              </w:rPr>
              <w:t xml:space="preserve">ESS 8: CULTURAL HERITAGE </w:t>
            </w:r>
            <w:r w:rsidRPr="00E90C16">
              <w:rPr>
                <w:rFonts w:cstheme="minorHAnsi"/>
                <w:sz w:val="20"/>
                <w:szCs w:val="20"/>
              </w:rPr>
              <w:t xml:space="preserve">[the relevance of ESS6 is established during the ESA process. As with other ESSs, ESS6 may require the adoption of specific measures that may be set out in an E&amp;S document (e.g. ESMP) already mentioned in the section under ESS1 above or as a stand-alone document or a separate action. Indicate whether ESS8-related measures are covered under an existing document or as stand-alone actions. See </w:t>
            </w:r>
            <w:r w:rsidRPr="00E90C16">
              <w:rPr>
                <w:rFonts w:cstheme="minorHAnsi"/>
                <w:sz w:val="20"/>
                <w:szCs w:val="20"/>
                <w:u w:val="single"/>
              </w:rPr>
              <w:t>examples</w:t>
            </w:r>
            <w:r w:rsidRPr="00E90C16">
              <w:rPr>
                <w:rFonts w:cstheme="minorHAnsi"/>
                <w:sz w:val="20"/>
                <w:szCs w:val="20"/>
              </w:rPr>
              <w:t xml:space="preserve"> below].</w:t>
            </w:r>
          </w:p>
        </w:tc>
      </w:tr>
      <w:tr w:rsidR="008F1D5E" w:rsidRPr="00E90C16" w14:paraId="76015C48" w14:textId="77777777" w:rsidTr="00FA0A88">
        <w:trPr>
          <w:cantSplit/>
          <w:trHeight w:val="548"/>
        </w:trPr>
        <w:tc>
          <w:tcPr>
            <w:tcW w:w="715" w:type="dxa"/>
          </w:tcPr>
          <w:p w14:paraId="2B8DFDD3" w14:textId="1E6D56DE" w:rsidR="008F1D5E" w:rsidRPr="00E90C16" w:rsidRDefault="008F1D5E" w:rsidP="008F1D5E">
            <w:pPr>
              <w:pStyle w:val="Normal-PRsubhead"/>
            </w:pPr>
          </w:p>
        </w:tc>
        <w:tc>
          <w:tcPr>
            <w:tcW w:w="6120" w:type="dxa"/>
          </w:tcPr>
          <w:p w14:paraId="014F5DE6" w14:textId="63E67CB3" w:rsidR="008F1D5E" w:rsidRPr="00E90C16" w:rsidRDefault="008F1D5E" w:rsidP="008F1D5E">
            <w:pPr>
              <w:pStyle w:val="Normal-PRsubhead"/>
            </w:pPr>
            <w:r w:rsidRPr="00E90C16">
              <w:t>Currently not relevant to the project.</w:t>
            </w:r>
          </w:p>
        </w:tc>
        <w:tc>
          <w:tcPr>
            <w:tcW w:w="3780" w:type="dxa"/>
          </w:tcPr>
          <w:p w14:paraId="7DF0440D" w14:textId="63AA342D" w:rsidR="008F1D5E" w:rsidRPr="00E90C16" w:rsidRDefault="008F1D5E" w:rsidP="008F1D5E">
            <w:pPr>
              <w:keepLines/>
              <w:widowControl w:val="0"/>
              <w:rPr>
                <w:rFonts w:cstheme="minorHAnsi"/>
                <w:i/>
                <w:sz w:val="20"/>
                <w:szCs w:val="20"/>
              </w:rPr>
            </w:pPr>
          </w:p>
        </w:tc>
        <w:tc>
          <w:tcPr>
            <w:tcW w:w="3690" w:type="dxa"/>
          </w:tcPr>
          <w:p w14:paraId="056F94CC" w14:textId="77777777" w:rsidR="008F1D5E" w:rsidRPr="00E90C16" w:rsidRDefault="008F1D5E" w:rsidP="008F1D5E">
            <w:pPr>
              <w:keepLines/>
              <w:widowControl w:val="0"/>
              <w:rPr>
                <w:rFonts w:cstheme="minorHAnsi"/>
                <w:sz w:val="20"/>
                <w:szCs w:val="20"/>
              </w:rPr>
            </w:pPr>
          </w:p>
        </w:tc>
      </w:tr>
    </w:tbl>
    <w:p w14:paraId="6468A7BE" w14:textId="49E8A602" w:rsidR="002A07CC" w:rsidRPr="00543E5E" w:rsidRDefault="002A07CC">
      <w:pPr>
        <w:rPr>
          <w:sz w:val="20"/>
          <w:szCs w:val="20"/>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E90C16" w14:paraId="6DBCFA76" w14:textId="77777777" w:rsidTr="00FA0A88">
        <w:trPr>
          <w:cantSplit/>
          <w:trHeight w:val="593"/>
        </w:trPr>
        <w:tc>
          <w:tcPr>
            <w:tcW w:w="14305" w:type="dxa"/>
            <w:gridSpan w:val="4"/>
            <w:shd w:val="clear" w:color="auto" w:fill="F4B083" w:themeFill="accent2" w:themeFillTint="99"/>
          </w:tcPr>
          <w:p w14:paraId="737BC18C" w14:textId="52360245" w:rsidR="00502173" w:rsidRPr="00E90C16" w:rsidRDefault="00502173" w:rsidP="005D394E">
            <w:pPr>
              <w:keepLines/>
              <w:widowControl w:val="0"/>
              <w:rPr>
                <w:rFonts w:cstheme="minorHAnsi"/>
                <w:sz w:val="20"/>
                <w:szCs w:val="20"/>
              </w:rPr>
            </w:pPr>
            <w:r w:rsidRPr="00E90C16">
              <w:rPr>
                <w:rFonts w:cstheme="minorHAnsi"/>
                <w:b/>
                <w:sz w:val="20"/>
                <w:szCs w:val="20"/>
              </w:rPr>
              <w:lastRenderedPageBreak/>
              <w:t>ESS 9: FINANCIAL INTERMEDIARIES</w:t>
            </w:r>
            <w:r w:rsidR="00916A95" w:rsidRPr="00E90C16">
              <w:rPr>
                <w:rFonts w:cstheme="minorHAnsi"/>
                <w:b/>
                <w:sz w:val="20"/>
                <w:szCs w:val="20"/>
              </w:rPr>
              <w:t xml:space="preserve"> </w:t>
            </w:r>
            <w:r w:rsidR="00916A95" w:rsidRPr="00E90C16">
              <w:rPr>
                <w:rFonts w:cstheme="minorHAnsi"/>
                <w:sz w:val="20"/>
                <w:szCs w:val="20"/>
              </w:rPr>
              <w:t xml:space="preserve">[This standard is only relevant for Projects involving Financial Intermediaries (FIs). See below a couple of examples of actions that </w:t>
            </w:r>
            <w:r w:rsidR="00402C16" w:rsidRPr="00E90C16">
              <w:rPr>
                <w:rFonts w:cstheme="minorHAnsi"/>
                <w:sz w:val="20"/>
                <w:szCs w:val="20"/>
              </w:rPr>
              <w:t xml:space="preserve">should </w:t>
            </w:r>
            <w:r w:rsidR="00916A95" w:rsidRPr="00E90C16">
              <w:rPr>
                <w:rFonts w:cstheme="minorHAnsi"/>
                <w:sz w:val="20"/>
                <w:szCs w:val="20"/>
              </w:rPr>
              <w:t>be considered when FIs are involved.]</w:t>
            </w:r>
          </w:p>
        </w:tc>
      </w:tr>
      <w:tr w:rsidR="00502173" w:rsidRPr="00E90C16" w14:paraId="7B7FE3F8" w14:textId="77777777" w:rsidTr="00594521">
        <w:trPr>
          <w:cantSplit/>
          <w:trHeight w:val="20"/>
        </w:trPr>
        <w:tc>
          <w:tcPr>
            <w:tcW w:w="715" w:type="dxa"/>
          </w:tcPr>
          <w:p w14:paraId="028654EC" w14:textId="02CCC641" w:rsidR="00502173" w:rsidRPr="00E90C16" w:rsidRDefault="00502173" w:rsidP="00381D53">
            <w:pPr>
              <w:pStyle w:val="Normal-PRsubhead"/>
            </w:pPr>
          </w:p>
        </w:tc>
        <w:tc>
          <w:tcPr>
            <w:tcW w:w="6120" w:type="dxa"/>
          </w:tcPr>
          <w:p w14:paraId="7674A5D7" w14:textId="33542CF5" w:rsidR="00502173" w:rsidRPr="00E90C16" w:rsidRDefault="0050173D" w:rsidP="00381D53">
            <w:pPr>
              <w:pStyle w:val="Normal-PRsubhead"/>
            </w:pPr>
            <w:r w:rsidRPr="00E90C16">
              <w:t>Currently not relevant to the project</w:t>
            </w:r>
          </w:p>
        </w:tc>
        <w:tc>
          <w:tcPr>
            <w:tcW w:w="3780" w:type="dxa"/>
          </w:tcPr>
          <w:p w14:paraId="740B2D94" w14:textId="4A2DDC8F" w:rsidR="00502173" w:rsidRPr="00E90C16" w:rsidRDefault="00502173" w:rsidP="005D394E">
            <w:pPr>
              <w:keepLines/>
              <w:widowControl w:val="0"/>
              <w:rPr>
                <w:rFonts w:cstheme="minorHAnsi"/>
                <w:sz w:val="20"/>
                <w:szCs w:val="20"/>
              </w:rPr>
            </w:pPr>
          </w:p>
        </w:tc>
        <w:tc>
          <w:tcPr>
            <w:tcW w:w="3690" w:type="dxa"/>
          </w:tcPr>
          <w:p w14:paraId="6BE07D13" w14:textId="77777777" w:rsidR="00502173" w:rsidRPr="00E90C16" w:rsidRDefault="00502173" w:rsidP="005D394E">
            <w:pPr>
              <w:keepLines/>
              <w:widowControl w:val="0"/>
              <w:rPr>
                <w:rFonts w:cstheme="minorHAnsi"/>
                <w:sz w:val="20"/>
                <w:szCs w:val="20"/>
              </w:rPr>
            </w:pPr>
          </w:p>
        </w:tc>
      </w:tr>
      <w:tr w:rsidR="00502173" w:rsidRPr="00E90C16" w14:paraId="6B669F4E" w14:textId="77777777" w:rsidTr="00594521">
        <w:trPr>
          <w:cantSplit/>
          <w:trHeight w:val="20"/>
        </w:trPr>
        <w:tc>
          <w:tcPr>
            <w:tcW w:w="715" w:type="dxa"/>
          </w:tcPr>
          <w:p w14:paraId="74598D70" w14:textId="04DE6E9A" w:rsidR="00502173" w:rsidRPr="00E90C16" w:rsidRDefault="00502173" w:rsidP="00381D53">
            <w:pPr>
              <w:pStyle w:val="Normal-PRsubhead"/>
            </w:pPr>
          </w:p>
        </w:tc>
        <w:tc>
          <w:tcPr>
            <w:tcW w:w="6120" w:type="dxa"/>
          </w:tcPr>
          <w:p w14:paraId="16257002" w14:textId="30723801" w:rsidR="00502173" w:rsidRPr="00543E5E" w:rsidRDefault="00502173" w:rsidP="005D394E">
            <w:pPr>
              <w:keepLines/>
              <w:widowControl w:val="0"/>
              <w:jc w:val="both"/>
              <w:rPr>
                <w:rFonts w:cstheme="minorHAnsi"/>
                <w:sz w:val="20"/>
                <w:szCs w:val="20"/>
              </w:rPr>
            </w:pPr>
          </w:p>
        </w:tc>
        <w:tc>
          <w:tcPr>
            <w:tcW w:w="3780" w:type="dxa"/>
          </w:tcPr>
          <w:p w14:paraId="3546AB42" w14:textId="4937EDD5" w:rsidR="00502173" w:rsidRPr="00E90C16" w:rsidRDefault="00502173" w:rsidP="005D394E">
            <w:pPr>
              <w:keepLines/>
              <w:widowControl w:val="0"/>
              <w:rPr>
                <w:rFonts w:cstheme="minorHAnsi"/>
                <w:i/>
                <w:sz w:val="20"/>
                <w:szCs w:val="20"/>
              </w:rPr>
            </w:pPr>
          </w:p>
        </w:tc>
        <w:tc>
          <w:tcPr>
            <w:tcW w:w="3690" w:type="dxa"/>
          </w:tcPr>
          <w:p w14:paraId="7324D518" w14:textId="77777777" w:rsidR="00502173" w:rsidRPr="00E90C16" w:rsidRDefault="00502173" w:rsidP="005D394E">
            <w:pPr>
              <w:keepLines/>
              <w:widowControl w:val="0"/>
              <w:rPr>
                <w:rFonts w:cstheme="minorHAnsi"/>
                <w:sz w:val="20"/>
                <w:szCs w:val="20"/>
              </w:rPr>
            </w:pPr>
          </w:p>
        </w:tc>
      </w:tr>
      <w:tr w:rsidR="00502173" w:rsidRPr="00E90C16" w14:paraId="4128F595" w14:textId="77777777" w:rsidTr="00594521">
        <w:trPr>
          <w:cantSplit/>
          <w:trHeight w:val="20"/>
        </w:trPr>
        <w:tc>
          <w:tcPr>
            <w:tcW w:w="715" w:type="dxa"/>
          </w:tcPr>
          <w:p w14:paraId="5AFA6EAB" w14:textId="6445CC42" w:rsidR="00502173" w:rsidRPr="00E90C16" w:rsidRDefault="00502173" w:rsidP="00381D53">
            <w:pPr>
              <w:pStyle w:val="Normal-PRsubhead"/>
            </w:pPr>
          </w:p>
        </w:tc>
        <w:tc>
          <w:tcPr>
            <w:tcW w:w="6120" w:type="dxa"/>
          </w:tcPr>
          <w:p w14:paraId="54746F5C" w14:textId="0A9B736F" w:rsidR="00502173" w:rsidRPr="00E90C16" w:rsidRDefault="00502173" w:rsidP="00381D53">
            <w:pPr>
              <w:pStyle w:val="Normal-PRsubhead"/>
            </w:pPr>
          </w:p>
        </w:tc>
        <w:tc>
          <w:tcPr>
            <w:tcW w:w="3780" w:type="dxa"/>
          </w:tcPr>
          <w:p w14:paraId="11E10314" w14:textId="19D13999" w:rsidR="00502173" w:rsidRPr="00E90C16" w:rsidRDefault="00502173" w:rsidP="005D394E">
            <w:pPr>
              <w:keepLines/>
              <w:widowControl w:val="0"/>
              <w:rPr>
                <w:rFonts w:cstheme="minorHAnsi"/>
                <w:i/>
                <w:sz w:val="20"/>
                <w:szCs w:val="20"/>
              </w:rPr>
            </w:pPr>
          </w:p>
        </w:tc>
        <w:tc>
          <w:tcPr>
            <w:tcW w:w="3690" w:type="dxa"/>
          </w:tcPr>
          <w:p w14:paraId="003FC3E7" w14:textId="77777777" w:rsidR="00502173" w:rsidRPr="00E90C16" w:rsidRDefault="00502173" w:rsidP="005D394E">
            <w:pPr>
              <w:keepLines/>
              <w:widowControl w:val="0"/>
              <w:rPr>
                <w:rFonts w:cstheme="minorHAnsi"/>
                <w:sz w:val="20"/>
                <w:szCs w:val="20"/>
              </w:rPr>
            </w:pPr>
          </w:p>
        </w:tc>
      </w:tr>
      <w:tr w:rsidR="00502173" w:rsidRPr="00E90C16"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E90C16" w:rsidRDefault="00502173" w:rsidP="005D394E">
            <w:pPr>
              <w:keepLines/>
              <w:widowControl w:val="0"/>
              <w:rPr>
                <w:rFonts w:cstheme="minorHAnsi"/>
                <w:sz w:val="20"/>
                <w:szCs w:val="20"/>
              </w:rPr>
            </w:pPr>
            <w:r w:rsidRPr="00E90C16">
              <w:rPr>
                <w:rFonts w:cstheme="minorHAnsi"/>
                <w:b/>
                <w:sz w:val="20"/>
                <w:szCs w:val="20"/>
              </w:rPr>
              <w:t>ESS 10: STAKEHOLDER ENGAGEMENT AND INFORMATION DISCLOSURE</w:t>
            </w:r>
          </w:p>
        </w:tc>
      </w:tr>
      <w:tr w:rsidR="00502173" w:rsidRPr="00E90C16" w14:paraId="046527AF" w14:textId="77777777" w:rsidTr="00594521">
        <w:trPr>
          <w:cantSplit/>
          <w:trHeight w:val="20"/>
        </w:trPr>
        <w:tc>
          <w:tcPr>
            <w:tcW w:w="715" w:type="dxa"/>
          </w:tcPr>
          <w:p w14:paraId="1F86D345" w14:textId="77777777" w:rsidR="00502173" w:rsidRPr="00E90C16" w:rsidRDefault="00502173" w:rsidP="00381D53">
            <w:pPr>
              <w:pStyle w:val="Normal-PRsubhead"/>
            </w:pPr>
            <w:r w:rsidRPr="00E90C16">
              <w:t>10.1</w:t>
            </w:r>
          </w:p>
        </w:tc>
        <w:tc>
          <w:tcPr>
            <w:tcW w:w="6120" w:type="dxa"/>
          </w:tcPr>
          <w:p w14:paraId="1ED1A1B0" w14:textId="19B4CE6C" w:rsidR="00502173" w:rsidRDefault="00055B2E" w:rsidP="00381D53">
            <w:pPr>
              <w:pStyle w:val="Normal-PRsubhead"/>
              <w:rPr>
                <w:b/>
              </w:rPr>
            </w:pPr>
            <w:r w:rsidRPr="000F79B9">
              <w:rPr>
                <w:rFonts w:ascii="Calibri,Bold" w:eastAsiaTheme="minorHAnsi" w:hAnsi="Calibri,Bold" w:cs="Calibri,Bold"/>
                <w:b/>
                <w:bCs/>
                <w:color w:val="5B9CD6"/>
                <w:lang w:val="en-US"/>
              </w:rPr>
              <w:t xml:space="preserve">SEP </w:t>
            </w:r>
            <w:r w:rsidR="008636EF" w:rsidRPr="000F79B9">
              <w:rPr>
                <w:rFonts w:ascii="Calibri,Bold" w:eastAsiaTheme="minorHAnsi" w:hAnsi="Calibri,Bold" w:cs="Calibri,Bold"/>
                <w:b/>
                <w:bCs/>
                <w:color w:val="5B9CD6"/>
                <w:lang w:val="en-US"/>
              </w:rPr>
              <w:t>IMPLEMENTATION</w:t>
            </w:r>
            <w:r w:rsidR="0055393C">
              <w:rPr>
                <w:rFonts w:ascii="Calibri,Bold" w:eastAsiaTheme="minorHAnsi" w:hAnsi="Calibri,Bold" w:cs="Calibri,Bold"/>
                <w:b/>
                <w:bCs/>
                <w:color w:val="5B9CD6"/>
                <w:lang w:val="en-US"/>
              </w:rPr>
              <w:t>:</w:t>
            </w:r>
            <w:r w:rsidR="000F79B9">
              <w:rPr>
                <w:rFonts w:ascii="Calibri,Bold" w:eastAsiaTheme="minorHAnsi" w:hAnsi="Calibri,Bold" w:cs="Calibri,Bold"/>
                <w:b/>
                <w:bCs/>
                <w:color w:val="5B9CD6"/>
                <w:lang w:val="en-US"/>
              </w:rPr>
              <w:t xml:space="preserve"> </w:t>
            </w:r>
            <w:r w:rsidR="000D3122" w:rsidRPr="00543E5E">
              <w:t>Update</w:t>
            </w:r>
            <w:r w:rsidR="002E45B4" w:rsidRPr="00543E5E">
              <w:t>, adopt, and implement</w:t>
            </w:r>
            <w:r w:rsidR="000D3122" w:rsidRPr="00543E5E">
              <w:t xml:space="preserve"> </w:t>
            </w:r>
            <w:r w:rsidR="00502173" w:rsidRPr="00543E5E">
              <w:t>Stakeholder Engagement Plan (SEP).</w:t>
            </w:r>
          </w:p>
          <w:p w14:paraId="1263D0B7" w14:textId="1C79429F" w:rsidR="00D86423" w:rsidRPr="00D86423" w:rsidRDefault="00D86423" w:rsidP="00D86423">
            <w:pPr>
              <w:rPr>
                <w:sz w:val="20"/>
                <w:szCs w:val="20"/>
                <w:lang w:val="en-GB"/>
              </w:rPr>
            </w:pPr>
            <w:r>
              <w:rPr>
                <w:sz w:val="20"/>
                <w:szCs w:val="20"/>
                <w:lang w:val="en-GB"/>
              </w:rPr>
              <w:t>Report on the implementation of all activities in the SEP.</w:t>
            </w:r>
          </w:p>
        </w:tc>
        <w:tc>
          <w:tcPr>
            <w:tcW w:w="3780" w:type="dxa"/>
          </w:tcPr>
          <w:p w14:paraId="1A4ABD5F" w14:textId="72E77224" w:rsidR="00502173" w:rsidRPr="00543E5E" w:rsidRDefault="008636EF" w:rsidP="005D394E">
            <w:pPr>
              <w:keepLines/>
              <w:widowControl w:val="0"/>
              <w:rPr>
                <w:rFonts w:cstheme="minorHAnsi"/>
                <w:sz w:val="20"/>
                <w:szCs w:val="20"/>
              </w:rPr>
            </w:pPr>
            <w:r w:rsidRPr="00543E5E">
              <w:rPr>
                <w:rFonts w:cstheme="minorHAnsi"/>
                <w:sz w:val="20"/>
                <w:szCs w:val="20"/>
              </w:rPr>
              <w:t>Throughout Project implementation</w:t>
            </w:r>
            <w:r w:rsidR="00D86423">
              <w:rPr>
                <w:rFonts w:cstheme="minorHAnsi"/>
                <w:sz w:val="20"/>
                <w:szCs w:val="20"/>
              </w:rPr>
              <w:t xml:space="preserve"> with a reporting frequency of</w:t>
            </w:r>
            <w:r w:rsidR="00612A32">
              <w:rPr>
                <w:rFonts w:cstheme="minorHAnsi"/>
                <w:sz w:val="20"/>
                <w:szCs w:val="20"/>
              </w:rPr>
              <w:t xml:space="preserve"> at</w:t>
            </w:r>
            <w:r w:rsidR="003A5962">
              <w:rPr>
                <w:rFonts w:cstheme="minorHAnsi"/>
                <w:sz w:val="20"/>
                <w:szCs w:val="20"/>
              </w:rPr>
              <w:t xml:space="preserve"> </w:t>
            </w:r>
            <w:r w:rsidR="00612A32">
              <w:rPr>
                <w:rFonts w:cstheme="minorHAnsi"/>
                <w:sz w:val="20"/>
                <w:szCs w:val="20"/>
              </w:rPr>
              <w:t>least every six months on implementation of SEP activities.</w:t>
            </w:r>
          </w:p>
        </w:tc>
        <w:tc>
          <w:tcPr>
            <w:tcW w:w="3690" w:type="dxa"/>
          </w:tcPr>
          <w:p w14:paraId="404FA487" w14:textId="48546C7E" w:rsidR="00502173" w:rsidRPr="00E90C16" w:rsidRDefault="00F375D9" w:rsidP="005D394E">
            <w:pPr>
              <w:keepLines/>
              <w:widowControl w:val="0"/>
              <w:rPr>
                <w:rFonts w:cstheme="minorHAnsi"/>
                <w:sz w:val="20"/>
                <w:szCs w:val="20"/>
              </w:rPr>
            </w:pPr>
            <w:r w:rsidRPr="001C6FB1">
              <w:rPr>
                <w:rFonts w:cstheme="minorHAnsi"/>
              </w:rPr>
              <w:t>MAFWM</w:t>
            </w:r>
          </w:p>
        </w:tc>
      </w:tr>
      <w:tr w:rsidR="00502173" w:rsidRPr="00E90C16" w14:paraId="41181087" w14:textId="77777777" w:rsidTr="00BE3F00">
        <w:trPr>
          <w:cantSplit/>
          <w:trHeight w:val="20"/>
        </w:trPr>
        <w:tc>
          <w:tcPr>
            <w:tcW w:w="715" w:type="dxa"/>
          </w:tcPr>
          <w:p w14:paraId="0FAA416D" w14:textId="6F182D24" w:rsidR="00502173" w:rsidRPr="00E90C16" w:rsidRDefault="00502173" w:rsidP="00381D53">
            <w:pPr>
              <w:pStyle w:val="Normal-PRsubhead"/>
            </w:pPr>
            <w:r w:rsidRPr="00E90C16">
              <w:t>10.</w:t>
            </w:r>
            <w:r w:rsidR="00947023" w:rsidRPr="00E90C16">
              <w:t>2</w:t>
            </w:r>
          </w:p>
        </w:tc>
        <w:tc>
          <w:tcPr>
            <w:tcW w:w="6120" w:type="dxa"/>
          </w:tcPr>
          <w:p w14:paraId="6C86CB6F" w14:textId="77777777" w:rsidR="00B54A48" w:rsidRPr="000F79B9" w:rsidRDefault="00502173" w:rsidP="00381D53">
            <w:pPr>
              <w:pStyle w:val="Normal-PRsubhead"/>
              <w:rPr>
                <w:rFonts w:ascii="Calibri,Bold" w:eastAsiaTheme="minorHAnsi" w:hAnsi="Calibri,Bold" w:cs="Calibri,Bold"/>
                <w:b/>
                <w:bCs/>
                <w:color w:val="5B9CD6"/>
                <w:lang w:val="en-US"/>
              </w:rPr>
            </w:pPr>
            <w:r w:rsidRPr="000F79B9">
              <w:rPr>
                <w:rFonts w:ascii="Calibri,Bold" w:eastAsiaTheme="minorHAnsi" w:hAnsi="Calibri,Bold" w:cs="Calibri,Bold"/>
                <w:b/>
                <w:bCs/>
                <w:color w:val="5B9CD6"/>
                <w:lang w:val="en-US"/>
              </w:rPr>
              <w:t xml:space="preserve">PROJECT GRIEVANCE MECHANISM: </w:t>
            </w:r>
          </w:p>
          <w:p w14:paraId="3064A400" w14:textId="62A04443" w:rsidR="007735A6" w:rsidRPr="00543E5E" w:rsidRDefault="001D0262" w:rsidP="007735A6">
            <w:pPr>
              <w:jc w:val="both"/>
              <w:rPr>
                <w:rFonts w:cs="Calibri"/>
                <w:sz w:val="20"/>
                <w:szCs w:val="20"/>
              </w:rPr>
            </w:pPr>
            <w:r w:rsidRPr="00543E5E">
              <w:rPr>
                <w:rFonts w:ascii="Calibri" w:eastAsia="Calibri" w:hAnsi="Calibri" w:cs="Calibri"/>
                <w:sz w:val="20"/>
                <w:szCs w:val="20"/>
              </w:rPr>
              <w:t xml:space="preserve">The Project will have </w:t>
            </w:r>
            <w:r w:rsidR="00535375">
              <w:rPr>
                <w:rFonts w:ascii="Calibri" w:eastAsia="Calibri" w:hAnsi="Calibri" w:cs="Calibri"/>
                <w:sz w:val="20"/>
                <w:szCs w:val="20"/>
              </w:rPr>
              <w:t>a Project-level</w:t>
            </w:r>
            <w:r w:rsidRPr="00543E5E">
              <w:rPr>
                <w:rFonts w:ascii="Calibri" w:eastAsia="Calibri" w:hAnsi="Calibri" w:cs="Calibri"/>
                <w:sz w:val="20"/>
                <w:szCs w:val="20"/>
              </w:rPr>
              <w:t xml:space="preserve"> Grievance Mechanisms (GM) that will allow for intake of inquiries and complaints about </w:t>
            </w:r>
            <w:r w:rsidR="00535375">
              <w:rPr>
                <w:rFonts w:ascii="Calibri" w:eastAsia="Calibri" w:hAnsi="Calibri" w:cs="Calibri"/>
                <w:sz w:val="20"/>
                <w:szCs w:val="20"/>
              </w:rPr>
              <w:t>the matching grant mechanism</w:t>
            </w:r>
            <w:r w:rsidR="00E90C16" w:rsidRPr="00543E5E">
              <w:rPr>
                <w:rFonts w:ascii="Calibri" w:eastAsia="Calibri" w:hAnsi="Calibri" w:cs="Calibri"/>
                <w:sz w:val="20"/>
                <w:szCs w:val="20"/>
              </w:rPr>
              <w:t xml:space="preserve">, </w:t>
            </w:r>
            <w:r w:rsidRPr="00543E5E">
              <w:rPr>
                <w:rFonts w:ascii="Calibri" w:eastAsia="Calibri" w:hAnsi="Calibri" w:cs="Calibri"/>
                <w:sz w:val="20"/>
                <w:szCs w:val="20"/>
              </w:rPr>
              <w:t>grant procedures &amp; results as well as potential social and environmental impacts of grant-supported activities.</w:t>
            </w:r>
          </w:p>
          <w:p w14:paraId="119CBC8E" w14:textId="1FF4520B" w:rsidR="00502173" w:rsidRPr="00E90C16" w:rsidRDefault="00502173" w:rsidP="00381D53">
            <w:pPr>
              <w:pStyle w:val="Normal-PRsubhead"/>
            </w:pPr>
          </w:p>
        </w:tc>
        <w:tc>
          <w:tcPr>
            <w:tcW w:w="3780" w:type="dxa"/>
          </w:tcPr>
          <w:p w14:paraId="52200FFD" w14:textId="180F0641" w:rsidR="00502173" w:rsidRPr="00E90C16" w:rsidRDefault="00702D2C" w:rsidP="00BE3F00">
            <w:pPr>
              <w:keepLines/>
              <w:widowControl w:val="0"/>
              <w:rPr>
                <w:rFonts w:cstheme="minorHAnsi"/>
                <w:sz w:val="20"/>
                <w:szCs w:val="20"/>
              </w:rPr>
            </w:pPr>
            <w:r w:rsidRPr="00E90C16">
              <w:rPr>
                <w:rFonts w:cstheme="minorHAnsi"/>
                <w:sz w:val="20"/>
                <w:szCs w:val="20"/>
              </w:rPr>
              <w:t>Four</w:t>
            </w:r>
            <w:r w:rsidR="00D22D8C" w:rsidRPr="00E90C16">
              <w:rPr>
                <w:rFonts w:cstheme="minorHAnsi"/>
                <w:sz w:val="20"/>
                <w:szCs w:val="20"/>
              </w:rPr>
              <w:t xml:space="preserve"> months a</w:t>
            </w:r>
            <w:r w:rsidRPr="00E90C16">
              <w:rPr>
                <w:rFonts w:cstheme="minorHAnsi"/>
                <w:sz w:val="20"/>
                <w:szCs w:val="20"/>
              </w:rPr>
              <w:t xml:space="preserve">fter </w:t>
            </w:r>
            <w:r w:rsidR="00A35C46">
              <w:rPr>
                <w:rFonts w:cstheme="minorHAnsi"/>
                <w:sz w:val="20"/>
                <w:szCs w:val="20"/>
              </w:rPr>
              <w:t>World Bank Board approval</w:t>
            </w:r>
          </w:p>
        </w:tc>
        <w:tc>
          <w:tcPr>
            <w:tcW w:w="3690" w:type="dxa"/>
          </w:tcPr>
          <w:p w14:paraId="33124ECD" w14:textId="5AE2B131" w:rsidR="00502173" w:rsidRPr="00E90C16" w:rsidRDefault="00F375D9" w:rsidP="005D394E">
            <w:pPr>
              <w:keepLines/>
              <w:widowControl w:val="0"/>
              <w:rPr>
                <w:rFonts w:cstheme="minorHAnsi"/>
                <w:sz w:val="20"/>
                <w:szCs w:val="20"/>
              </w:rPr>
            </w:pPr>
            <w:r w:rsidRPr="001C6FB1">
              <w:rPr>
                <w:rFonts w:cstheme="minorHAnsi"/>
              </w:rPr>
              <w:t>MAFWM</w:t>
            </w:r>
          </w:p>
        </w:tc>
      </w:tr>
      <w:tr w:rsidR="00502173" w:rsidRPr="00E90C16" w14:paraId="685BCC6E" w14:textId="77777777" w:rsidTr="00FA0A88">
        <w:trPr>
          <w:cantSplit/>
          <w:trHeight w:val="377"/>
        </w:trPr>
        <w:tc>
          <w:tcPr>
            <w:tcW w:w="14305" w:type="dxa"/>
            <w:gridSpan w:val="4"/>
            <w:shd w:val="clear" w:color="auto" w:fill="F4B083" w:themeFill="accent2" w:themeFillTint="99"/>
          </w:tcPr>
          <w:p w14:paraId="3E9B56C0" w14:textId="63B4D4EF" w:rsidR="00502173" w:rsidRPr="00E90C16" w:rsidRDefault="00502173" w:rsidP="005D394E">
            <w:pPr>
              <w:keepLines/>
              <w:widowControl w:val="0"/>
              <w:rPr>
                <w:rFonts w:cstheme="minorHAnsi"/>
                <w:b/>
                <w:sz w:val="20"/>
                <w:szCs w:val="20"/>
              </w:rPr>
            </w:pPr>
            <w:r w:rsidRPr="00E90C16">
              <w:rPr>
                <w:rFonts w:cstheme="minorHAnsi"/>
                <w:b/>
                <w:sz w:val="20"/>
                <w:szCs w:val="20"/>
              </w:rPr>
              <w:t>CAPACITY SUPPORT (TRAINING)</w:t>
            </w:r>
          </w:p>
        </w:tc>
      </w:tr>
      <w:tr w:rsidR="00502173" w:rsidRPr="00E90C16" w14:paraId="2F1B42F9" w14:textId="77777777" w:rsidTr="00594521">
        <w:trPr>
          <w:cantSplit/>
          <w:trHeight w:val="20"/>
        </w:trPr>
        <w:tc>
          <w:tcPr>
            <w:tcW w:w="715" w:type="dxa"/>
          </w:tcPr>
          <w:p w14:paraId="214B243A" w14:textId="0217A9C2" w:rsidR="00502173" w:rsidRPr="00E90C16" w:rsidRDefault="000C4140" w:rsidP="00381D53">
            <w:pPr>
              <w:pStyle w:val="Normal-PRsubhead"/>
            </w:pPr>
            <w:r w:rsidRPr="00E90C16">
              <w:t>CS</w:t>
            </w:r>
            <w:r w:rsidR="00502173" w:rsidRPr="00E90C16">
              <w:t>1</w:t>
            </w:r>
          </w:p>
        </w:tc>
        <w:tc>
          <w:tcPr>
            <w:tcW w:w="6120" w:type="dxa"/>
          </w:tcPr>
          <w:p w14:paraId="17C8F98B" w14:textId="721FF629" w:rsidR="00502173" w:rsidRPr="00E90C16" w:rsidRDefault="00CE1045" w:rsidP="005D394E">
            <w:pPr>
              <w:keepLines/>
              <w:widowControl w:val="0"/>
              <w:rPr>
                <w:rFonts w:eastAsia="Calibri" w:cstheme="minorHAnsi"/>
                <w:sz w:val="20"/>
                <w:szCs w:val="20"/>
                <w:lang w:val="en-GB"/>
              </w:rPr>
            </w:pPr>
            <w:r w:rsidRPr="00E90C16">
              <w:rPr>
                <w:rFonts w:eastAsia="Calibri" w:cstheme="minorHAnsi"/>
                <w:sz w:val="20"/>
                <w:szCs w:val="20"/>
                <w:lang w:val="en-GB"/>
              </w:rPr>
              <w:t>T</w:t>
            </w:r>
            <w:r w:rsidR="00502173" w:rsidRPr="00E90C16">
              <w:rPr>
                <w:rFonts w:eastAsia="Calibri" w:cstheme="minorHAnsi"/>
                <w:sz w:val="20"/>
                <w:szCs w:val="20"/>
                <w:lang w:val="en-GB"/>
              </w:rPr>
              <w:t xml:space="preserve">raining </w:t>
            </w:r>
            <w:r w:rsidRPr="00E90C16">
              <w:rPr>
                <w:rFonts w:eastAsia="Calibri" w:cstheme="minorHAnsi"/>
                <w:sz w:val="20"/>
                <w:szCs w:val="20"/>
                <w:lang w:val="en-GB"/>
              </w:rPr>
              <w:t>will</w:t>
            </w:r>
            <w:r w:rsidR="00502173" w:rsidRPr="00E90C16">
              <w:rPr>
                <w:rFonts w:eastAsia="Calibri" w:cstheme="minorHAnsi"/>
                <w:sz w:val="20"/>
                <w:szCs w:val="20"/>
                <w:lang w:val="en-GB"/>
              </w:rPr>
              <w:t xml:space="preserve"> be required </w:t>
            </w:r>
            <w:r w:rsidR="000C4140" w:rsidRPr="00E90C16">
              <w:rPr>
                <w:rFonts w:eastAsia="Calibri" w:cstheme="minorHAnsi"/>
                <w:sz w:val="20"/>
                <w:szCs w:val="20"/>
                <w:lang w:val="en-GB"/>
              </w:rPr>
              <w:t>for P</w:t>
            </w:r>
            <w:r w:rsidR="00A35C46">
              <w:rPr>
                <w:rFonts w:eastAsia="Calibri" w:cstheme="minorHAnsi"/>
                <w:sz w:val="20"/>
                <w:szCs w:val="20"/>
                <w:lang w:val="en-GB"/>
              </w:rPr>
              <w:t>MT</w:t>
            </w:r>
            <w:r w:rsidR="000C4140" w:rsidRPr="00E90C16">
              <w:rPr>
                <w:rFonts w:eastAsia="Calibri" w:cstheme="minorHAnsi"/>
                <w:sz w:val="20"/>
                <w:szCs w:val="20"/>
                <w:lang w:val="en-GB"/>
              </w:rPr>
              <w:t xml:space="preserve"> staff</w:t>
            </w:r>
            <w:r w:rsidR="006F0670" w:rsidRPr="00E90C16">
              <w:rPr>
                <w:rFonts w:eastAsia="Calibri" w:cstheme="minorHAnsi"/>
                <w:sz w:val="20"/>
                <w:szCs w:val="20"/>
                <w:lang w:val="en-GB"/>
              </w:rPr>
              <w:t xml:space="preserve"> and</w:t>
            </w:r>
            <w:r w:rsidR="000C4140" w:rsidRPr="00E90C16">
              <w:rPr>
                <w:rFonts w:eastAsia="Calibri" w:cstheme="minorHAnsi"/>
                <w:sz w:val="20"/>
                <w:szCs w:val="20"/>
                <w:lang w:val="en-GB"/>
              </w:rPr>
              <w:t xml:space="preserve"> stakeholders</w:t>
            </w:r>
            <w:r w:rsidR="006F0670" w:rsidRPr="00E90C16">
              <w:rPr>
                <w:rFonts w:eastAsia="Calibri" w:cstheme="minorHAnsi"/>
                <w:sz w:val="20"/>
                <w:szCs w:val="20"/>
                <w:lang w:val="en-GB"/>
              </w:rPr>
              <w:t xml:space="preserve"> </w:t>
            </w:r>
            <w:r w:rsidR="000C4140" w:rsidRPr="00E90C16">
              <w:rPr>
                <w:rFonts w:eastAsia="Calibri" w:cstheme="minorHAnsi"/>
                <w:sz w:val="20"/>
                <w:szCs w:val="20"/>
                <w:lang w:val="en-GB"/>
              </w:rPr>
              <w:t>on</w:t>
            </w:r>
            <w:r w:rsidR="00502173" w:rsidRPr="00E90C16">
              <w:rPr>
                <w:rFonts w:eastAsia="Calibri" w:cstheme="minorHAnsi"/>
                <w:sz w:val="20"/>
                <w:szCs w:val="20"/>
                <w:lang w:val="en-GB"/>
              </w:rPr>
              <w:t>:</w:t>
            </w:r>
          </w:p>
          <w:p w14:paraId="4494A7EC" w14:textId="77777777" w:rsidR="00502173" w:rsidRPr="00E90C16" w:rsidRDefault="00502173" w:rsidP="005D394E">
            <w:pPr>
              <w:pStyle w:val="ListParagraph"/>
              <w:keepLines/>
              <w:widowControl w:val="0"/>
              <w:numPr>
                <w:ilvl w:val="0"/>
                <w:numId w:val="20"/>
              </w:numPr>
              <w:spacing w:after="0"/>
              <w:rPr>
                <w:rFonts w:eastAsia="Calibri" w:cstheme="minorHAnsi"/>
                <w:sz w:val="20"/>
                <w:szCs w:val="20"/>
                <w:lang w:val="en-GB"/>
              </w:rPr>
            </w:pPr>
            <w:r w:rsidRPr="00E90C16">
              <w:rPr>
                <w:rFonts w:eastAsia="Calibri" w:cstheme="minorHAnsi"/>
                <w:sz w:val="20"/>
                <w:szCs w:val="20"/>
                <w:lang w:val="en-GB"/>
              </w:rPr>
              <w:t>stakeholder mapping and engagement</w:t>
            </w:r>
          </w:p>
          <w:p w14:paraId="15FADC22" w14:textId="77777777" w:rsidR="00502173" w:rsidRPr="00E90C16" w:rsidRDefault="00502173" w:rsidP="005D394E">
            <w:pPr>
              <w:pStyle w:val="ListParagraph"/>
              <w:keepLines/>
              <w:widowControl w:val="0"/>
              <w:numPr>
                <w:ilvl w:val="0"/>
                <w:numId w:val="20"/>
              </w:numPr>
              <w:spacing w:after="0"/>
              <w:rPr>
                <w:rFonts w:eastAsia="Calibri" w:cstheme="minorHAnsi"/>
                <w:sz w:val="20"/>
                <w:szCs w:val="20"/>
                <w:lang w:val="en-GB"/>
              </w:rPr>
            </w:pPr>
            <w:r w:rsidRPr="00E90C16">
              <w:rPr>
                <w:rFonts w:eastAsia="Calibri" w:cstheme="minorHAnsi"/>
                <w:sz w:val="20"/>
                <w:szCs w:val="20"/>
                <w:lang w:val="en-GB"/>
              </w:rPr>
              <w:t>specific aspects of environmental and social assessment</w:t>
            </w:r>
          </w:p>
          <w:p w14:paraId="5AB9789F" w14:textId="0BB77DB7" w:rsidR="00947023" w:rsidRPr="00E90C16" w:rsidRDefault="00947023" w:rsidP="00F03828">
            <w:pPr>
              <w:pStyle w:val="ListParagraph"/>
              <w:keepLines/>
              <w:widowControl w:val="0"/>
              <w:spacing w:after="0"/>
              <w:ind w:left="768" w:firstLine="0"/>
              <w:rPr>
                <w:rFonts w:cstheme="minorHAnsi"/>
                <w:sz w:val="20"/>
                <w:szCs w:val="20"/>
              </w:rPr>
            </w:pPr>
          </w:p>
        </w:tc>
        <w:tc>
          <w:tcPr>
            <w:tcW w:w="3780" w:type="dxa"/>
          </w:tcPr>
          <w:p w14:paraId="18555B68" w14:textId="5CA314BB" w:rsidR="00502173" w:rsidRPr="00543E5E" w:rsidRDefault="007A14B7" w:rsidP="005D394E">
            <w:pPr>
              <w:keepLines/>
              <w:widowControl w:val="0"/>
              <w:rPr>
                <w:rFonts w:cstheme="minorHAnsi"/>
                <w:sz w:val="20"/>
                <w:szCs w:val="20"/>
              </w:rPr>
            </w:pPr>
            <w:r>
              <w:rPr>
                <w:rFonts w:cstheme="minorHAnsi"/>
                <w:sz w:val="20"/>
                <w:szCs w:val="20"/>
              </w:rPr>
              <w:t>Two months after World Bank Board approval</w:t>
            </w:r>
            <w:r w:rsidR="00177FAA" w:rsidRPr="00543E5E">
              <w:rPr>
                <w:rFonts w:cstheme="minorHAnsi"/>
                <w:sz w:val="20"/>
                <w:szCs w:val="20"/>
              </w:rPr>
              <w:t xml:space="preserve"> followed by a minimum one annual refresher training</w:t>
            </w:r>
          </w:p>
        </w:tc>
        <w:tc>
          <w:tcPr>
            <w:tcW w:w="3690" w:type="dxa"/>
          </w:tcPr>
          <w:p w14:paraId="1DA070FC" w14:textId="77777777" w:rsidR="00502173" w:rsidRPr="00E90C16" w:rsidRDefault="00502173" w:rsidP="005D394E">
            <w:pPr>
              <w:keepLines/>
              <w:widowControl w:val="0"/>
              <w:rPr>
                <w:rFonts w:cstheme="minorHAnsi"/>
                <w:sz w:val="20"/>
                <w:szCs w:val="20"/>
              </w:rPr>
            </w:pPr>
          </w:p>
        </w:tc>
      </w:tr>
    </w:tbl>
    <w:p w14:paraId="67532740" w14:textId="77777777" w:rsidR="00701091" w:rsidRDefault="00701091"/>
    <w:sectPr w:rsidR="00701091"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F0ED" w14:textId="77777777" w:rsidR="003B768D" w:rsidRDefault="003B768D" w:rsidP="00E35CB2">
      <w:r>
        <w:separator/>
      </w:r>
    </w:p>
    <w:p w14:paraId="6BC88A56" w14:textId="77777777" w:rsidR="003B768D" w:rsidRDefault="003B768D"/>
    <w:p w14:paraId="07700812" w14:textId="77777777" w:rsidR="003B768D" w:rsidRDefault="003B768D"/>
    <w:p w14:paraId="6FF253B5" w14:textId="77777777" w:rsidR="003B768D" w:rsidRDefault="003B768D"/>
    <w:p w14:paraId="3E82374C" w14:textId="77777777" w:rsidR="003B768D" w:rsidRDefault="003B768D"/>
  </w:endnote>
  <w:endnote w:type="continuationSeparator" w:id="0">
    <w:p w14:paraId="4AD570D4" w14:textId="77777777" w:rsidR="003B768D" w:rsidRDefault="003B768D" w:rsidP="00E35CB2">
      <w:r>
        <w:continuationSeparator/>
      </w:r>
    </w:p>
    <w:p w14:paraId="79565FC9" w14:textId="77777777" w:rsidR="003B768D" w:rsidRDefault="003B768D"/>
    <w:p w14:paraId="01A59C02" w14:textId="77777777" w:rsidR="003B768D" w:rsidRDefault="003B768D"/>
    <w:p w14:paraId="495EA11D" w14:textId="77777777" w:rsidR="003B768D" w:rsidRDefault="003B768D"/>
    <w:p w14:paraId="4E57ABB4" w14:textId="77777777" w:rsidR="003B768D" w:rsidRDefault="003B7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ESMF">
    <w:altName w:val="Cambria"/>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BC6ED8" w:rsidRDefault="00BC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3123" w14:textId="77777777" w:rsidR="003B768D" w:rsidRDefault="003B768D" w:rsidP="00E35CB2">
      <w:r>
        <w:separator/>
      </w:r>
    </w:p>
    <w:p w14:paraId="4F6BFA88" w14:textId="77777777" w:rsidR="003B768D" w:rsidRDefault="003B768D"/>
    <w:p w14:paraId="7C77260B" w14:textId="77777777" w:rsidR="003B768D" w:rsidRDefault="003B768D"/>
    <w:p w14:paraId="01FB70C1" w14:textId="77777777" w:rsidR="003B768D" w:rsidRDefault="003B768D"/>
    <w:p w14:paraId="2621603A" w14:textId="77777777" w:rsidR="003B768D" w:rsidRDefault="003B768D"/>
  </w:footnote>
  <w:footnote w:type="continuationSeparator" w:id="0">
    <w:p w14:paraId="53777029" w14:textId="77777777" w:rsidR="003B768D" w:rsidRDefault="003B768D" w:rsidP="00E35CB2">
      <w:r>
        <w:continuationSeparator/>
      </w:r>
    </w:p>
    <w:p w14:paraId="2816C6DD" w14:textId="77777777" w:rsidR="003B768D" w:rsidRDefault="003B768D"/>
    <w:p w14:paraId="0CD7CA54" w14:textId="77777777" w:rsidR="003B768D" w:rsidRDefault="003B768D"/>
    <w:p w14:paraId="4D79BB47" w14:textId="77777777" w:rsidR="003B768D" w:rsidRDefault="003B768D"/>
    <w:p w14:paraId="52126690" w14:textId="77777777" w:rsidR="003B768D" w:rsidRDefault="003B7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BC6ED8" w:rsidRDefault="00BC6ED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579" w14:textId="149EF011" w:rsidR="00BC6ED8" w:rsidRPr="00FA0A88" w:rsidRDefault="00BC6ED8"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BC6ED8" w:rsidRDefault="00BC6ED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986" w14:textId="6AEBEE29"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THE WORLD BANK - ENVIRONMENTAL AND SOCIAL COMMITMENT PLAN (ESCP): VERSION 2.0 – </w:t>
    </w:r>
    <w:r w:rsidR="005348E2">
      <w:rPr>
        <w:rFonts w:cstheme="minorHAnsi"/>
        <w:b/>
        <w:color w:val="808080" w:themeColor="background1" w:themeShade="80"/>
        <w:sz w:val="18"/>
        <w:szCs w:val="18"/>
      </w:rPr>
      <w:t>September</w:t>
    </w:r>
    <w:r w:rsidRPr="00FA0A88">
      <w:rPr>
        <w:rFonts w:cstheme="minorHAnsi"/>
        <w:b/>
        <w:color w:val="808080" w:themeColor="background1" w:themeShade="80"/>
        <w:sz w:val="18"/>
        <w:szCs w:val="18"/>
      </w:rPr>
      <w:t xml:space="preserve"> 2019</w:t>
    </w:r>
    <w:r>
      <w:rPr>
        <w:rFonts w:cstheme="minorHAnsi"/>
        <w:b/>
        <w:color w:val="808080" w:themeColor="background1" w:themeShade="80"/>
        <w:sz w:val="16"/>
        <w:szCs w:val="16"/>
      </w:rPr>
      <w:t xml:space="preserv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F1585"/>
    <w:multiLevelType w:val="hybridMultilevel"/>
    <w:tmpl w:val="64EE9816"/>
    <w:lvl w:ilvl="0" w:tplc="FD4C0202">
      <w:start w:val="1"/>
      <w:numFmt w:val="bullet"/>
      <w:lvlText w:val=""/>
      <w:lvlJc w:val="left"/>
      <w:pPr>
        <w:ind w:left="770" w:hanging="360"/>
      </w:pPr>
      <w:rPr>
        <w:rFonts w:ascii="Wingdings" w:hAnsi="Wingdings" w:hint="default"/>
        <w:color w:val="336699"/>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878E3"/>
    <w:multiLevelType w:val="hybridMultilevel"/>
    <w:tmpl w:val="D5CA4AFE"/>
    <w:lvl w:ilvl="0" w:tplc="FD4C0202">
      <w:start w:val="1"/>
      <w:numFmt w:val="bullet"/>
      <w:lvlText w:val=""/>
      <w:lvlJc w:val="left"/>
      <w:pPr>
        <w:ind w:left="720" w:hanging="360"/>
      </w:pPr>
      <w:rPr>
        <w:rFonts w:ascii="Wingdings" w:hAnsi="Wingdings" w:hint="default"/>
        <w:color w:val="336699"/>
      </w:rPr>
    </w:lvl>
    <w:lvl w:ilvl="1" w:tplc="65A49F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8"/>
  </w:num>
  <w:num w:numId="2">
    <w:abstractNumId w:val="7"/>
  </w:num>
  <w:num w:numId="3">
    <w:abstractNumId w:val="19"/>
  </w:num>
  <w:num w:numId="4">
    <w:abstractNumId w:val="16"/>
  </w:num>
  <w:num w:numId="5">
    <w:abstractNumId w:val="12"/>
  </w:num>
  <w:num w:numId="6">
    <w:abstractNumId w:val="21"/>
  </w:num>
  <w:num w:numId="7">
    <w:abstractNumId w:val="3"/>
  </w:num>
  <w:num w:numId="8">
    <w:abstractNumId w:val="9"/>
  </w:num>
  <w:num w:numId="9">
    <w:abstractNumId w:val="2"/>
  </w:num>
  <w:num w:numId="10">
    <w:abstractNumId w:val="14"/>
  </w:num>
  <w:num w:numId="11">
    <w:abstractNumId w:val="8"/>
  </w:num>
  <w:num w:numId="12">
    <w:abstractNumId w:val="6"/>
  </w:num>
  <w:num w:numId="13">
    <w:abstractNumId w:val="5"/>
  </w:num>
  <w:num w:numId="14">
    <w:abstractNumId w:val="15"/>
  </w:num>
  <w:num w:numId="15">
    <w:abstractNumId w:val="13"/>
  </w:num>
  <w:num w:numId="16">
    <w:abstractNumId w:val="20"/>
  </w:num>
  <w:num w:numId="17">
    <w:abstractNumId w:val="11"/>
  </w:num>
  <w:num w:numId="18">
    <w:abstractNumId w:val="0"/>
  </w:num>
  <w:num w:numId="19">
    <w:abstractNumId w:val="10"/>
  </w:num>
  <w:num w:numId="20">
    <w:abstractNumId w:val="4"/>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73D9"/>
    <w:rsid w:val="0001001E"/>
    <w:rsid w:val="00011EBF"/>
    <w:rsid w:val="000124AF"/>
    <w:rsid w:val="000132C7"/>
    <w:rsid w:val="00013663"/>
    <w:rsid w:val="000158A5"/>
    <w:rsid w:val="00015A47"/>
    <w:rsid w:val="0001758C"/>
    <w:rsid w:val="00021A5C"/>
    <w:rsid w:val="00022B03"/>
    <w:rsid w:val="00022CE4"/>
    <w:rsid w:val="00026C40"/>
    <w:rsid w:val="00032CAE"/>
    <w:rsid w:val="00033CA0"/>
    <w:rsid w:val="00037E02"/>
    <w:rsid w:val="00040743"/>
    <w:rsid w:val="00042B32"/>
    <w:rsid w:val="00044394"/>
    <w:rsid w:val="000468DE"/>
    <w:rsid w:val="00047A48"/>
    <w:rsid w:val="00050BF8"/>
    <w:rsid w:val="00051F1D"/>
    <w:rsid w:val="00053C5B"/>
    <w:rsid w:val="0005481F"/>
    <w:rsid w:val="00055B2E"/>
    <w:rsid w:val="000561A4"/>
    <w:rsid w:val="000564F8"/>
    <w:rsid w:val="0006028F"/>
    <w:rsid w:val="000623D2"/>
    <w:rsid w:val="00063497"/>
    <w:rsid w:val="00066E4A"/>
    <w:rsid w:val="00071F61"/>
    <w:rsid w:val="00085C13"/>
    <w:rsid w:val="000876A4"/>
    <w:rsid w:val="0009509F"/>
    <w:rsid w:val="000A0AEB"/>
    <w:rsid w:val="000A1E89"/>
    <w:rsid w:val="000A3764"/>
    <w:rsid w:val="000A38EB"/>
    <w:rsid w:val="000A419E"/>
    <w:rsid w:val="000B0093"/>
    <w:rsid w:val="000B1513"/>
    <w:rsid w:val="000B477E"/>
    <w:rsid w:val="000B54A9"/>
    <w:rsid w:val="000B6C87"/>
    <w:rsid w:val="000B7699"/>
    <w:rsid w:val="000C0CEF"/>
    <w:rsid w:val="000C206F"/>
    <w:rsid w:val="000C4140"/>
    <w:rsid w:val="000C42E8"/>
    <w:rsid w:val="000D043C"/>
    <w:rsid w:val="000D3122"/>
    <w:rsid w:val="000D32EF"/>
    <w:rsid w:val="000D3946"/>
    <w:rsid w:val="000E1522"/>
    <w:rsid w:val="000F0DFB"/>
    <w:rsid w:val="000F2E62"/>
    <w:rsid w:val="000F79B9"/>
    <w:rsid w:val="000F7D8D"/>
    <w:rsid w:val="00100272"/>
    <w:rsid w:val="00102036"/>
    <w:rsid w:val="00106028"/>
    <w:rsid w:val="00122EB9"/>
    <w:rsid w:val="0012625A"/>
    <w:rsid w:val="00126D90"/>
    <w:rsid w:val="00133BC8"/>
    <w:rsid w:val="00134E29"/>
    <w:rsid w:val="0014113C"/>
    <w:rsid w:val="00142A09"/>
    <w:rsid w:val="00142B1E"/>
    <w:rsid w:val="001465A4"/>
    <w:rsid w:val="00146A78"/>
    <w:rsid w:val="00146AF0"/>
    <w:rsid w:val="00147DBF"/>
    <w:rsid w:val="0015236B"/>
    <w:rsid w:val="00152CC3"/>
    <w:rsid w:val="00154D0A"/>
    <w:rsid w:val="00164843"/>
    <w:rsid w:val="0016519A"/>
    <w:rsid w:val="00165F8C"/>
    <w:rsid w:val="00170978"/>
    <w:rsid w:val="00170A10"/>
    <w:rsid w:val="001722BA"/>
    <w:rsid w:val="001735CA"/>
    <w:rsid w:val="0017533F"/>
    <w:rsid w:val="00175BD5"/>
    <w:rsid w:val="00177A87"/>
    <w:rsid w:val="00177FAA"/>
    <w:rsid w:val="00180640"/>
    <w:rsid w:val="00181C52"/>
    <w:rsid w:val="001878F9"/>
    <w:rsid w:val="001916A5"/>
    <w:rsid w:val="00197015"/>
    <w:rsid w:val="00197E5B"/>
    <w:rsid w:val="001A1149"/>
    <w:rsid w:val="001A44BB"/>
    <w:rsid w:val="001A7BD5"/>
    <w:rsid w:val="001B452C"/>
    <w:rsid w:val="001B5562"/>
    <w:rsid w:val="001C410B"/>
    <w:rsid w:val="001D0262"/>
    <w:rsid w:val="001D2432"/>
    <w:rsid w:val="001D2466"/>
    <w:rsid w:val="001D2D97"/>
    <w:rsid w:val="001D4EE0"/>
    <w:rsid w:val="001D672E"/>
    <w:rsid w:val="001D78A8"/>
    <w:rsid w:val="001E0277"/>
    <w:rsid w:val="001E72D4"/>
    <w:rsid w:val="001F05A7"/>
    <w:rsid w:val="001F3344"/>
    <w:rsid w:val="001F4109"/>
    <w:rsid w:val="001F58D6"/>
    <w:rsid w:val="001F5C08"/>
    <w:rsid w:val="001F5F4A"/>
    <w:rsid w:val="002000B2"/>
    <w:rsid w:val="002034B8"/>
    <w:rsid w:val="002034F1"/>
    <w:rsid w:val="0020647A"/>
    <w:rsid w:val="00207D7F"/>
    <w:rsid w:val="0022075E"/>
    <w:rsid w:val="002216CD"/>
    <w:rsid w:val="00223773"/>
    <w:rsid w:val="00225FF6"/>
    <w:rsid w:val="00230427"/>
    <w:rsid w:val="00231096"/>
    <w:rsid w:val="00232EC3"/>
    <w:rsid w:val="0023728F"/>
    <w:rsid w:val="002376AB"/>
    <w:rsid w:val="00244A91"/>
    <w:rsid w:val="00253388"/>
    <w:rsid w:val="00256E8D"/>
    <w:rsid w:val="00263553"/>
    <w:rsid w:val="0026405C"/>
    <w:rsid w:val="0026451B"/>
    <w:rsid w:val="002645DA"/>
    <w:rsid w:val="00266460"/>
    <w:rsid w:val="0027055F"/>
    <w:rsid w:val="00275063"/>
    <w:rsid w:val="00276158"/>
    <w:rsid w:val="00284ABA"/>
    <w:rsid w:val="002900CC"/>
    <w:rsid w:val="0029168A"/>
    <w:rsid w:val="0029223F"/>
    <w:rsid w:val="00293701"/>
    <w:rsid w:val="0029535A"/>
    <w:rsid w:val="0029679B"/>
    <w:rsid w:val="00297AB6"/>
    <w:rsid w:val="002A07CC"/>
    <w:rsid w:val="002A0C04"/>
    <w:rsid w:val="002A67AD"/>
    <w:rsid w:val="002B04DB"/>
    <w:rsid w:val="002B2EE1"/>
    <w:rsid w:val="002B560A"/>
    <w:rsid w:val="002C4801"/>
    <w:rsid w:val="002C5A09"/>
    <w:rsid w:val="002C7822"/>
    <w:rsid w:val="002C7ADE"/>
    <w:rsid w:val="002D36AF"/>
    <w:rsid w:val="002D4AA2"/>
    <w:rsid w:val="002D5209"/>
    <w:rsid w:val="002D5E3A"/>
    <w:rsid w:val="002D7B18"/>
    <w:rsid w:val="002E1042"/>
    <w:rsid w:val="002E45B4"/>
    <w:rsid w:val="002E55FE"/>
    <w:rsid w:val="002E7419"/>
    <w:rsid w:val="002F0B51"/>
    <w:rsid w:val="002F64CF"/>
    <w:rsid w:val="00301D4F"/>
    <w:rsid w:val="00304827"/>
    <w:rsid w:val="00305BCF"/>
    <w:rsid w:val="00305E49"/>
    <w:rsid w:val="003108D8"/>
    <w:rsid w:val="00310A80"/>
    <w:rsid w:val="00312CC6"/>
    <w:rsid w:val="00316772"/>
    <w:rsid w:val="00316C77"/>
    <w:rsid w:val="00316E2F"/>
    <w:rsid w:val="003259FB"/>
    <w:rsid w:val="00325A2C"/>
    <w:rsid w:val="00331885"/>
    <w:rsid w:val="00331BAF"/>
    <w:rsid w:val="00332FCC"/>
    <w:rsid w:val="00347F05"/>
    <w:rsid w:val="003517A7"/>
    <w:rsid w:val="00352D91"/>
    <w:rsid w:val="00354AD9"/>
    <w:rsid w:val="00355D1F"/>
    <w:rsid w:val="003570EB"/>
    <w:rsid w:val="003600CB"/>
    <w:rsid w:val="0036097D"/>
    <w:rsid w:val="00365763"/>
    <w:rsid w:val="00367F16"/>
    <w:rsid w:val="0037259C"/>
    <w:rsid w:val="00373A51"/>
    <w:rsid w:val="0037539E"/>
    <w:rsid w:val="00375BD0"/>
    <w:rsid w:val="00377019"/>
    <w:rsid w:val="00381D53"/>
    <w:rsid w:val="00383C2C"/>
    <w:rsid w:val="003851E2"/>
    <w:rsid w:val="0038605C"/>
    <w:rsid w:val="003974D6"/>
    <w:rsid w:val="003A06A5"/>
    <w:rsid w:val="003A5962"/>
    <w:rsid w:val="003B3075"/>
    <w:rsid w:val="003B5E96"/>
    <w:rsid w:val="003B768D"/>
    <w:rsid w:val="003C1D4C"/>
    <w:rsid w:val="003C2002"/>
    <w:rsid w:val="003C73B4"/>
    <w:rsid w:val="003D6E61"/>
    <w:rsid w:val="003E0044"/>
    <w:rsid w:val="003E1D7B"/>
    <w:rsid w:val="003E41FE"/>
    <w:rsid w:val="003E6028"/>
    <w:rsid w:val="003E6299"/>
    <w:rsid w:val="003E7F99"/>
    <w:rsid w:val="003F51D0"/>
    <w:rsid w:val="003F7918"/>
    <w:rsid w:val="00402C16"/>
    <w:rsid w:val="00403D18"/>
    <w:rsid w:val="00404812"/>
    <w:rsid w:val="004075D2"/>
    <w:rsid w:val="00411D87"/>
    <w:rsid w:val="004137A2"/>
    <w:rsid w:val="0041418E"/>
    <w:rsid w:val="00416501"/>
    <w:rsid w:val="004173F6"/>
    <w:rsid w:val="00417D70"/>
    <w:rsid w:val="00421ECE"/>
    <w:rsid w:val="004222F1"/>
    <w:rsid w:val="00422BDD"/>
    <w:rsid w:val="00423785"/>
    <w:rsid w:val="00423CAC"/>
    <w:rsid w:val="00425CD3"/>
    <w:rsid w:val="0043065D"/>
    <w:rsid w:val="00433B26"/>
    <w:rsid w:val="0043658B"/>
    <w:rsid w:val="004410CC"/>
    <w:rsid w:val="004472E6"/>
    <w:rsid w:val="0045080E"/>
    <w:rsid w:val="0046130D"/>
    <w:rsid w:val="004621B9"/>
    <w:rsid w:val="004626CF"/>
    <w:rsid w:val="0046390A"/>
    <w:rsid w:val="004650CC"/>
    <w:rsid w:val="0046582A"/>
    <w:rsid w:val="00470040"/>
    <w:rsid w:val="00471255"/>
    <w:rsid w:val="004728A0"/>
    <w:rsid w:val="004734E6"/>
    <w:rsid w:val="004744D6"/>
    <w:rsid w:val="00474BE5"/>
    <w:rsid w:val="0047550F"/>
    <w:rsid w:val="00475C86"/>
    <w:rsid w:val="00475D41"/>
    <w:rsid w:val="00475DE9"/>
    <w:rsid w:val="00477556"/>
    <w:rsid w:val="00484356"/>
    <w:rsid w:val="00484A88"/>
    <w:rsid w:val="004904F8"/>
    <w:rsid w:val="004909BA"/>
    <w:rsid w:val="00491701"/>
    <w:rsid w:val="004918F7"/>
    <w:rsid w:val="00492173"/>
    <w:rsid w:val="00493FB9"/>
    <w:rsid w:val="004973A4"/>
    <w:rsid w:val="00497F9A"/>
    <w:rsid w:val="004A09CF"/>
    <w:rsid w:val="004A5380"/>
    <w:rsid w:val="004A6731"/>
    <w:rsid w:val="004A7DCB"/>
    <w:rsid w:val="004B006E"/>
    <w:rsid w:val="004B13CE"/>
    <w:rsid w:val="004B5968"/>
    <w:rsid w:val="004B5B25"/>
    <w:rsid w:val="004C48F6"/>
    <w:rsid w:val="004C681B"/>
    <w:rsid w:val="004D0103"/>
    <w:rsid w:val="004D3A88"/>
    <w:rsid w:val="004D60D3"/>
    <w:rsid w:val="004D65A4"/>
    <w:rsid w:val="004D759F"/>
    <w:rsid w:val="004D7C69"/>
    <w:rsid w:val="004E51B0"/>
    <w:rsid w:val="004E5289"/>
    <w:rsid w:val="004E68EF"/>
    <w:rsid w:val="004E7CEA"/>
    <w:rsid w:val="004F1184"/>
    <w:rsid w:val="004F217B"/>
    <w:rsid w:val="004F56F7"/>
    <w:rsid w:val="004F5C4E"/>
    <w:rsid w:val="00500A43"/>
    <w:rsid w:val="0050173D"/>
    <w:rsid w:val="00501AA7"/>
    <w:rsid w:val="00502173"/>
    <w:rsid w:val="00502AFD"/>
    <w:rsid w:val="00503F93"/>
    <w:rsid w:val="00506C68"/>
    <w:rsid w:val="00514C4A"/>
    <w:rsid w:val="005243CB"/>
    <w:rsid w:val="00524D42"/>
    <w:rsid w:val="0053072C"/>
    <w:rsid w:val="005348E2"/>
    <w:rsid w:val="00535375"/>
    <w:rsid w:val="00536689"/>
    <w:rsid w:val="005415FC"/>
    <w:rsid w:val="00541AD5"/>
    <w:rsid w:val="00543E5E"/>
    <w:rsid w:val="00545C67"/>
    <w:rsid w:val="0055127F"/>
    <w:rsid w:val="0055393C"/>
    <w:rsid w:val="00554415"/>
    <w:rsid w:val="005557DB"/>
    <w:rsid w:val="00556C53"/>
    <w:rsid w:val="00560102"/>
    <w:rsid w:val="00561847"/>
    <w:rsid w:val="00561AFB"/>
    <w:rsid w:val="00562414"/>
    <w:rsid w:val="00563557"/>
    <w:rsid w:val="00565CA4"/>
    <w:rsid w:val="00570B1A"/>
    <w:rsid w:val="005728A6"/>
    <w:rsid w:val="00572F61"/>
    <w:rsid w:val="00575258"/>
    <w:rsid w:val="00576631"/>
    <w:rsid w:val="00576B69"/>
    <w:rsid w:val="00582904"/>
    <w:rsid w:val="005879CC"/>
    <w:rsid w:val="00593B72"/>
    <w:rsid w:val="00593C8E"/>
    <w:rsid w:val="00594521"/>
    <w:rsid w:val="005A11DD"/>
    <w:rsid w:val="005B4E74"/>
    <w:rsid w:val="005B54EF"/>
    <w:rsid w:val="005B5951"/>
    <w:rsid w:val="005C40FB"/>
    <w:rsid w:val="005C4504"/>
    <w:rsid w:val="005C4926"/>
    <w:rsid w:val="005C5F8B"/>
    <w:rsid w:val="005C683A"/>
    <w:rsid w:val="005D09FE"/>
    <w:rsid w:val="005D394E"/>
    <w:rsid w:val="005D41CB"/>
    <w:rsid w:val="005D45E6"/>
    <w:rsid w:val="005D4B65"/>
    <w:rsid w:val="005E2E4D"/>
    <w:rsid w:val="005E3DC1"/>
    <w:rsid w:val="005F13A2"/>
    <w:rsid w:val="005F1AFA"/>
    <w:rsid w:val="005F1B0E"/>
    <w:rsid w:val="005F5CE4"/>
    <w:rsid w:val="005F6237"/>
    <w:rsid w:val="00602FE2"/>
    <w:rsid w:val="00606CA7"/>
    <w:rsid w:val="00606EAE"/>
    <w:rsid w:val="00607AFB"/>
    <w:rsid w:val="006110F8"/>
    <w:rsid w:val="00612A32"/>
    <w:rsid w:val="00614E29"/>
    <w:rsid w:val="006175DC"/>
    <w:rsid w:val="00620639"/>
    <w:rsid w:val="00627CF9"/>
    <w:rsid w:val="00627DBD"/>
    <w:rsid w:val="00630740"/>
    <w:rsid w:val="00630C76"/>
    <w:rsid w:val="00641B66"/>
    <w:rsid w:val="006477C1"/>
    <w:rsid w:val="00650EEA"/>
    <w:rsid w:val="00651672"/>
    <w:rsid w:val="00652DC8"/>
    <w:rsid w:val="00655E8D"/>
    <w:rsid w:val="00662B2E"/>
    <w:rsid w:val="00662D45"/>
    <w:rsid w:val="00670476"/>
    <w:rsid w:val="00673BC8"/>
    <w:rsid w:val="00674602"/>
    <w:rsid w:val="00676E7B"/>
    <w:rsid w:val="00677B3B"/>
    <w:rsid w:val="006835E0"/>
    <w:rsid w:val="00685FF9"/>
    <w:rsid w:val="0068618C"/>
    <w:rsid w:val="00686DF7"/>
    <w:rsid w:val="00692228"/>
    <w:rsid w:val="00694763"/>
    <w:rsid w:val="006964F8"/>
    <w:rsid w:val="00696578"/>
    <w:rsid w:val="006A70E3"/>
    <w:rsid w:val="006B4A26"/>
    <w:rsid w:val="006C1B99"/>
    <w:rsid w:val="006D16F0"/>
    <w:rsid w:val="006D2168"/>
    <w:rsid w:val="006D36CD"/>
    <w:rsid w:val="006D4DDB"/>
    <w:rsid w:val="006E55EC"/>
    <w:rsid w:val="006E6F40"/>
    <w:rsid w:val="006F0670"/>
    <w:rsid w:val="006F0B0A"/>
    <w:rsid w:val="006F0DF5"/>
    <w:rsid w:val="006F2CC0"/>
    <w:rsid w:val="006F3188"/>
    <w:rsid w:val="006F5362"/>
    <w:rsid w:val="00701091"/>
    <w:rsid w:val="00702D2C"/>
    <w:rsid w:val="00703348"/>
    <w:rsid w:val="00711F42"/>
    <w:rsid w:val="00717524"/>
    <w:rsid w:val="0072141F"/>
    <w:rsid w:val="00721F4E"/>
    <w:rsid w:val="0073367A"/>
    <w:rsid w:val="0073471D"/>
    <w:rsid w:val="00734F89"/>
    <w:rsid w:val="0074136F"/>
    <w:rsid w:val="00744980"/>
    <w:rsid w:val="00747414"/>
    <w:rsid w:val="00747B10"/>
    <w:rsid w:val="00752D7A"/>
    <w:rsid w:val="00752E11"/>
    <w:rsid w:val="0075364D"/>
    <w:rsid w:val="00754821"/>
    <w:rsid w:val="007548C5"/>
    <w:rsid w:val="007551F8"/>
    <w:rsid w:val="007569FE"/>
    <w:rsid w:val="00756E4A"/>
    <w:rsid w:val="007640AF"/>
    <w:rsid w:val="00764868"/>
    <w:rsid w:val="00770535"/>
    <w:rsid w:val="00772A0C"/>
    <w:rsid w:val="007735A6"/>
    <w:rsid w:val="00777904"/>
    <w:rsid w:val="00777A2D"/>
    <w:rsid w:val="00777D1F"/>
    <w:rsid w:val="00781C28"/>
    <w:rsid w:val="0078416F"/>
    <w:rsid w:val="00784922"/>
    <w:rsid w:val="00784B19"/>
    <w:rsid w:val="00791A34"/>
    <w:rsid w:val="00794511"/>
    <w:rsid w:val="00796BE2"/>
    <w:rsid w:val="00797A6E"/>
    <w:rsid w:val="007A14B7"/>
    <w:rsid w:val="007A19C0"/>
    <w:rsid w:val="007A33BB"/>
    <w:rsid w:val="007A55E2"/>
    <w:rsid w:val="007A5C66"/>
    <w:rsid w:val="007A690B"/>
    <w:rsid w:val="007A706C"/>
    <w:rsid w:val="007B070B"/>
    <w:rsid w:val="007B4E9E"/>
    <w:rsid w:val="007C1B7C"/>
    <w:rsid w:val="007C3A32"/>
    <w:rsid w:val="007C5483"/>
    <w:rsid w:val="007C5D74"/>
    <w:rsid w:val="007C7248"/>
    <w:rsid w:val="007C7E4A"/>
    <w:rsid w:val="007D06D0"/>
    <w:rsid w:val="007D1B44"/>
    <w:rsid w:val="007D3D44"/>
    <w:rsid w:val="007D6A51"/>
    <w:rsid w:val="007D7377"/>
    <w:rsid w:val="007E135B"/>
    <w:rsid w:val="007E260E"/>
    <w:rsid w:val="007E2709"/>
    <w:rsid w:val="007E2DAB"/>
    <w:rsid w:val="007E4F9D"/>
    <w:rsid w:val="007E61EB"/>
    <w:rsid w:val="007E7604"/>
    <w:rsid w:val="007F118F"/>
    <w:rsid w:val="00801481"/>
    <w:rsid w:val="00801E64"/>
    <w:rsid w:val="0080354A"/>
    <w:rsid w:val="008035A2"/>
    <w:rsid w:val="00805C69"/>
    <w:rsid w:val="00806012"/>
    <w:rsid w:val="008109FB"/>
    <w:rsid w:val="00817636"/>
    <w:rsid w:val="008204AB"/>
    <w:rsid w:val="00821252"/>
    <w:rsid w:val="00822EA7"/>
    <w:rsid w:val="00824684"/>
    <w:rsid w:val="008249BF"/>
    <w:rsid w:val="008256E0"/>
    <w:rsid w:val="00827E50"/>
    <w:rsid w:val="00836C2C"/>
    <w:rsid w:val="0084174A"/>
    <w:rsid w:val="008558BC"/>
    <w:rsid w:val="00856BDC"/>
    <w:rsid w:val="0086097F"/>
    <w:rsid w:val="0086245D"/>
    <w:rsid w:val="00863160"/>
    <w:rsid w:val="008636EF"/>
    <w:rsid w:val="00865A6D"/>
    <w:rsid w:val="00867D93"/>
    <w:rsid w:val="008840BF"/>
    <w:rsid w:val="00886479"/>
    <w:rsid w:val="00891841"/>
    <w:rsid w:val="00891DF6"/>
    <w:rsid w:val="0089240F"/>
    <w:rsid w:val="0089646D"/>
    <w:rsid w:val="00897826"/>
    <w:rsid w:val="008A2F2F"/>
    <w:rsid w:val="008A3B71"/>
    <w:rsid w:val="008A40B6"/>
    <w:rsid w:val="008A591F"/>
    <w:rsid w:val="008A6051"/>
    <w:rsid w:val="008A7977"/>
    <w:rsid w:val="008B33D3"/>
    <w:rsid w:val="008B3DA5"/>
    <w:rsid w:val="008B71B6"/>
    <w:rsid w:val="008C061B"/>
    <w:rsid w:val="008C2C65"/>
    <w:rsid w:val="008C58A2"/>
    <w:rsid w:val="008D1770"/>
    <w:rsid w:val="008D307A"/>
    <w:rsid w:val="008E1414"/>
    <w:rsid w:val="008E4690"/>
    <w:rsid w:val="008E521F"/>
    <w:rsid w:val="008E535C"/>
    <w:rsid w:val="008E7548"/>
    <w:rsid w:val="008F1333"/>
    <w:rsid w:val="008F1512"/>
    <w:rsid w:val="008F153C"/>
    <w:rsid w:val="008F1D5E"/>
    <w:rsid w:val="008F40D7"/>
    <w:rsid w:val="008F4879"/>
    <w:rsid w:val="008F561B"/>
    <w:rsid w:val="008F5B07"/>
    <w:rsid w:val="009003C4"/>
    <w:rsid w:val="00906EB4"/>
    <w:rsid w:val="00907ECD"/>
    <w:rsid w:val="00910DFA"/>
    <w:rsid w:val="0091111E"/>
    <w:rsid w:val="0091289B"/>
    <w:rsid w:val="00914AFC"/>
    <w:rsid w:val="00915139"/>
    <w:rsid w:val="00915D58"/>
    <w:rsid w:val="00915F10"/>
    <w:rsid w:val="00916A95"/>
    <w:rsid w:val="00927D8B"/>
    <w:rsid w:val="00935B00"/>
    <w:rsid w:val="00936331"/>
    <w:rsid w:val="009402D5"/>
    <w:rsid w:val="009428BB"/>
    <w:rsid w:val="00945B1A"/>
    <w:rsid w:val="0094668F"/>
    <w:rsid w:val="00947023"/>
    <w:rsid w:val="00947BD1"/>
    <w:rsid w:val="00950FFA"/>
    <w:rsid w:val="0095479C"/>
    <w:rsid w:val="00956C8A"/>
    <w:rsid w:val="009575BF"/>
    <w:rsid w:val="009619C1"/>
    <w:rsid w:val="00966758"/>
    <w:rsid w:val="00975431"/>
    <w:rsid w:val="009772D5"/>
    <w:rsid w:val="00977F66"/>
    <w:rsid w:val="00981764"/>
    <w:rsid w:val="009832AC"/>
    <w:rsid w:val="009925CC"/>
    <w:rsid w:val="009A005C"/>
    <w:rsid w:val="009A101B"/>
    <w:rsid w:val="009A26FC"/>
    <w:rsid w:val="009B4243"/>
    <w:rsid w:val="009B570F"/>
    <w:rsid w:val="009C456E"/>
    <w:rsid w:val="009C49E1"/>
    <w:rsid w:val="009C62FE"/>
    <w:rsid w:val="009C67BB"/>
    <w:rsid w:val="009C7C9E"/>
    <w:rsid w:val="009D2712"/>
    <w:rsid w:val="009D3A27"/>
    <w:rsid w:val="009D55D6"/>
    <w:rsid w:val="009D603C"/>
    <w:rsid w:val="009D604F"/>
    <w:rsid w:val="009D61C8"/>
    <w:rsid w:val="009D7590"/>
    <w:rsid w:val="009D78A7"/>
    <w:rsid w:val="009E130C"/>
    <w:rsid w:val="009E130F"/>
    <w:rsid w:val="009F0105"/>
    <w:rsid w:val="009F425A"/>
    <w:rsid w:val="009F50E9"/>
    <w:rsid w:val="00A026F5"/>
    <w:rsid w:val="00A027A6"/>
    <w:rsid w:val="00A05906"/>
    <w:rsid w:val="00A07D29"/>
    <w:rsid w:val="00A124AF"/>
    <w:rsid w:val="00A12C8E"/>
    <w:rsid w:val="00A12E16"/>
    <w:rsid w:val="00A16ADC"/>
    <w:rsid w:val="00A25D44"/>
    <w:rsid w:val="00A31E0E"/>
    <w:rsid w:val="00A35C46"/>
    <w:rsid w:val="00A43131"/>
    <w:rsid w:val="00A43CC0"/>
    <w:rsid w:val="00A47F59"/>
    <w:rsid w:val="00A508CC"/>
    <w:rsid w:val="00A54559"/>
    <w:rsid w:val="00A551EE"/>
    <w:rsid w:val="00A56007"/>
    <w:rsid w:val="00A5770C"/>
    <w:rsid w:val="00A57AD2"/>
    <w:rsid w:val="00A614CC"/>
    <w:rsid w:val="00A71515"/>
    <w:rsid w:val="00A82DF1"/>
    <w:rsid w:val="00A839A3"/>
    <w:rsid w:val="00A84233"/>
    <w:rsid w:val="00A911EE"/>
    <w:rsid w:val="00A96974"/>
    <w:rsid w:val="00A97D95"/>
    <w:rsid w:val="00AA2A6B"/>
    <w:rsid w:val="00AA349F"/>
    <w:rsid w:val="00AA38EF"/>
    <w:rsid w:val="00AB4F98"/>
    <w:rsid w:val="00AB6811"/>
    <w:rsid w:val="00AB6EB7"/>
    <w:rsid w:val="00AB7057"/>
    <w:rsid w:val="00AC1B39"/>
    <w:rsid w:val="00AC3288"/>
    <w:rsid w:val="00AC72FF"/>
    <w:rsid w:val="00AC7315"/>
    <w:rsid w:val="00AD0A1F"/>
    <w:rsid w:val="00AD1382"/>
    <w:rsid w:val="00AD3FD8"/>
    <w:rsid w:val="00AD53B9"/>
    <w:rsid w:val="00AD7131"/>
    <w:rsid w:val="00AE0947"/>
    <w:rsid w:val="00AE1E21"/>
    <w:rsid w:val="00AE60CA"/>
    <w:rsid w:val="00AF1482"/>
    <w:rsid w:val="00AF20FA"/>
    <w:rsid w:val="00AF2F8C"/>
    <w:rsid w:val="00AF3D21"/>
    <w:rsid w:val="00AF61CF"/>
    <w:rsid w:val="00AF6D27"/>
    <w:rsid w:val="00B0144B"/>
    <w:rsid w:val="00B07D4F"/>
    <w:rsid w:val="00B10807"/>
    <w:rsid w:val="00B10CFA"/>
    <w:rsid w:val="00B11FCA"/>
    <w:rsid w:val="00B1205A"/>
    <w:rsid w:val="00B1244E"/>
    <w:rsid w:val="00B12A14"/>
    <w:rsid w:val="00B1491E"/>
    <w:rsid w:val="00B16C76"/>
    <w:rsid w:val="00B174B9"/>
    <w:rsid w:val="00B31EF9"/>
    <w:rsid w:val="00B32660"/>
    <w:rsid w:val="00B349CF"/>
    <w:rsid w:val="00B35931"/>
    <w:rsid w:val="00B35BDD"/>
    <w:rsid w:val="00B45926"/>
    <w:rsid w:val="00B46ABB"/>
    <w:rsid w:val="00B46E00"/>
    <w:rsid w:val="00B4778F"/>
    <w:rsid w:val="00B50AE3"/>
    <w:rsid w:val="00B51400"/>
    <w:rsid w:val="00B532EE"/>
    <w:rsid w:val="00B54A48"/>
    <w:rsid w:val="00B54D83"/>
    <w:rsid w:val="00B61C95"/>
    <w:rsid w:val="00B650F0"/>
    <w:rsid w:val="00B6512D"/>
    <w:rsid w:val="00B7260A"/>
    <w:rsid w:val="00B75815"/>
    <w:rsid w:val="00B76B88"/>
    <w:rsid w:val="00B773BD"/>
    <w:rsid w:val="00B77DCA"/>
    <w:rsid w:val="00B80C04"/>
    <w:rsid w:val="00B83090"/>
    <w:rsid w:val="00B83F41"/>
    <w:rsid w:val="00B84EE4"/>
    <w:rsid w:val="00B9029E"/>
    <w:rsid w:val="00B90BC9"/>
    <w:rsid w:val="00B927CF"/>
    <w:rsid w:val="00B94B5D"/>
    <w:rsid w:val="00BA29B7"/>
    <w:rsid w:val="00BA481A"/>
    <w:rsid w:val="00BA5648"/>
    <w:rsid w:val="00BB2811"/>
    <w:rsid w:val="00BB4C26"/>
    <w:rsid w:val="00BC0427"/>
    <w:rsid w:val="00BC1463"/>
    <w:rsid w:val="00BC33AC"/>
    <w:rsid w:val="00BC3EC1"/>
    <w:rsid w:val="00BC6863"/>
    <w:rsid w:val="00BC6ED8"/>
    <w:rsid w:val="00BC711A"/>
    <w:rsid w:val="00BC781D"/>
    <w:rsid w:val="00BD1954"/>
    <w:rsid w:val="00BD53EC"/>
    <w:rsid w:val="00BD7D19"/>
    <w:rsid w:val="00BE3F00"/>
    <w:rsid w:val="00BF154C"/>
    <w:rsid w:val="00BF1C1A"/>
    <w:rsid w:val="00BF1DF5"/>
    <w:rsid w:val="00C01A62"/>
    <w:rsid w:val="00C022B9"/>
    <w:rsid w:val="00C04F98"/>
    <w:rsid w:val="00C06379"/>
    <w:rsid w:val="00C070FD"/>
    <w:rsid w:val="00C0799A"/>
    <w:rsid w:val="00C103A2"/>
    <w:rsid w:val="00C11424"/>
    <w:rsid w:val="00C14AF4"/>
    <w:rsid w:val="00C16256"/>
    <w:rsid w:val="00C16504"/>
    <w:rsid w:val="00C16825"/>
    <w:rsid w:val="00C20147"/>
    <w:rsid w:val="00C201B0"/>
    <w:rsid w:val="00C2489F"/>
    <w:rsid w:val="00C25464"/>
    <w:rsid w:val="00C30900"/>
    <w:rsid w:val="00C32948"/>
    <w:rsid w:val="00C344D2"/>
    <w:rsid w:val="00C35BA3"/>
    <w:rsid w:val="00C35CAD"/>
    <w:rsid w:val="00C36DFB"/>
    <w:rsid w:val="00C42698"/>
    <w:rsid w:val="00C42844"/>
    <w:rsid w:val="00C46C0A"/>
    <w:rsid w:val="00C47F87"/>
    <w:rsid w:val="00C51724"/>
    <w:rsid w:val="00C51AA4"/>
    <w:rsid w:val="00C549B1"/>
    <w:rsid w:val="00C57AC0"/>
    <w:rsid w:val="00C60109"/>
    <w:rsid w:val="00C61665"/>
    <w:rsid w:val="00C63CF6"/>
    <w:rsid w:val="00C64DE4"/>
    <w:rsid w:val="00C64E2A"/>
    <w:rsid w:val="00C6704F"/>
    <w:rsid w:val="00C80F67"/>
    <w:rsid w:val="00C8568A"/>
    <w:rsid w:val="00C90384"/>
    <w:rsid w:val="00C90F2F"/>
    <w:rsid w:val="00C93C17"/>
    <w:rsid w:val="00C967C1"/>
    <w:rsid w:val="00CB6006"/>
    <w:rsid w:val="00CC0AFD"/>
    <w:rsid w:val="00CC16F4"/>
    <w:rsid w:val="00CC2EF2"/>
    <w:rsid w:val="00CC3A9C"/>
    <w:rsid w:val="00CC50FA"/>
    <w:rsid w:val="00CE1045"/>
    <w:rsid w:val="00CE2744"/>
    <w:rsid w:val="00CE4768"/>
    <w:rsid w:val="00CE678C"/>
    <w:rsid w:val="00CF3D76"/>
    <w:rsid w:val="00D04179"/>
    <w:rsid w:val="00D06155"/>
    <w:rsid w:val="00D07F39"/>
    <w:rsid w:val="00D1084F"/>
    <w:rsid w:val="00D14D9F"/>
    <w:rsid w:val="00D17620"/>
    <w:rsid w:val="00D17EE2"/>
    <w:rsid w:val="00D216D4"/>
    <w:rsid w:val="00D22D8C"/>
    <w:rsid w:val="00D25D81"/>
    <w:rsid w:val="00D3010E"/>
    <w:rsid w:val="00D30C4D"/>
    <w:rsid w:val="00D30D99"/>
    <w:rsid w:val="00D356B6"/>
    <w:rsid w:val="00D36FC9"/>
    <w:rsid w:val="00D42B22"/>
    <w:rsid w:val="00D457EF"/>
    <w:rsid w:val="00D50750"/>
    <w:rsid w:val="00D52E5C"/>
    <w:rsid w:val="00D53254"/>
    <w:rsid w:val="00D56321"/>
    <w:rsid w:val="00D5750B"/>
    <w:rsid w:val="00D63C5B"/>
    <w:rsid w:val="00D6797C"/>
    <w:rsid w:val="00D67AF6"/>
    <w:rsid w:val="00D7098F"/>
    <w:rsid w:val="00D72118"/>
    <w:rsid w:val="00D75D0E"/>
    <w:rsid w:val="00D86423"/>
    <w:rsid w:val="00D87C14"/>
    <w:rsid w:val="00D9022A"/>
    <w:rsid w:val="00D91C8A"/>
    <w:rsid w:val="00D958C6"/>
    <w:rsid w:val="00D977D5"/>
    <w:rsid w:val="00DA52C9"/>
    <w:rsid w:val="00DB0090"/>
    <w:rsid w:val="00DB01BC"/>
    <w:rsid w:val="00DB3538"/>
    <w:rsid w:val="00DB55FB"/>
    <w:rsid w:val="00DB5A5E"/>
    <w:rsid w:val="00DC360B"/>
    <w:rsid w:val="00DC5239"/>
    <w:rsid w:val="00DC5C30"/>
    <w:rsid w:val="00DC7129"/>
    <w:rsid w:val="00DD06EB"/>
    <w:rsid w:val="00DD24C3"/>
    <w:rsid w:val="00DD251D"/>
    <w:rsid w:val="00DD4DEC"/>
    <w:rsid w:val="00DD5E8D"/>
    <w:rsid w:val="00DD7123"/>
    <w:rsid w:val="00DE0B7E"/>
    <w:rsid w:val="00DE1329"/>
    <w:rsid w:val="00DE42B9"/>
    <w:rsid w:val="00DE53E3"/>
    <w:rsid w:val="00DF3118"/>
    <w:rsid w:val="00DF61F4"/>
    <w:rsid w:val="00DF776C"/>
    <w:rsid w:val="00E006D9"/>
    <w:rsid w:val="00E074FA"/>
    <w:rsid w:val="00E10596"/>
    <w:rsid w:val="00E11299"/>
    <w:rsid w:val="00E16C74"/>
    <w:rsid w:val="00E25210"/>
    <w:rsid w:val="00E30A99"/>
    <w:rsid w:val="00E30D99"/>
    <w:rsid w:val="00E311F1"/>
    <w:rsid w:val="00E326E6"/>
    <w:rsid w:val="00E32CD5"/>
    <w:rsid w:val="00E35ADA"/>
    <w:rsid w:val="00E35CB2"/>
    <w:rsid w:val="00E366C5"/>
    <w:rsid w:val="00E409D3"/>
    <w:rsid w:val="00E42294"/>
    <w:rsid w:val="00E42E44"/>
    <w:rsid w:val="00E44906"/>
    <w:rsid w:val="00E44FB7"/>
    <w:rsid w:val="00E45FCF"/>
    <w:rsid w:val="00E4613C"/>
    <w:rsid w:val="00E524C1"/>
    <w:rsid w:val="00E538CB"/>
    <w:rsid w:val="00E53DFB"/>
    <w:rsid w:val="00E54746"/>
    <w:rsid w:val="00E636AE"/>
    <w:rsid w:val="00E63E39"/>
    <w:rsid w:val="00E64832"/>
    <w:rsid w:val="00E7050A"/>
    <w:rsid w:val="00E7276C"/>
    <w:rsid w:val="00E74EFB"/>
    <w:rsid w:val="00E7510E"/>
    <w:rsid w:val="00E85A7E"/>
    <w:rsid w:val="00E85B0E"/>
    <w:rsid w:val="00E87561"/>
    <w:rsid w:val="00E90C16"/>
    <w:rsid w:val="00E90DAB"/>
    <w:rsid w:val="00E90E81"/>
    <w:rsid w:val="00E94EA7"/>
    <w:rsid w:val="00E97AE9"/>
    <w:rsid w:val="00EB01FF"/>
    <w:rsid w:val="00EB2DC2"/>
    <w:rsid w:val="00EB6019"/>
    <w:rsid w:val="00EC0BF0"/>
    <w:rsid w:val="00EC159D"/>
    <w:rsid w:val="00EC5F0C"/>
    <w:rsid w:val="00ED27EB"/>
    <w:rsid w:val="00ED3C4B"/>
    <w:rsid w:val="00ED3D08"/>
    <w:rsid w:val="00EE2438"/>
    <w:rsid w:val="00EE27A9"/>
    <w:rsid w:val="00EE3003"/>
    <w:rsid w:val="00EE6503"/>
    <w:rsid w:val="00EF11F9"/>
    <w:rsid w:val="00EF1424"/>
    <w:rsid w:val="00EF1D69"/>
    <w:rsid w:val="00EF5F41"/>
    <w:rsid w:val="00F002FC"/>
    <w:rsid w:val="00F0092F"/>
    <w:rsid w:val="00F01F48"/>
    <w:rsid w:val="00F020F7"/>
    <w:rsid w:val="00F03828"/>
    <w:rsid w:val="00F04406"/>
    <w:rsid w:val="00F069CB"/>
    <w:rsid w:val="00F1216A"/>
    <w:rsid w:val="00F13697"/>
    <w:rsid w:val="00F17EC3"/>
    <w:rsid w:val="00F21943"/>
    <w:rsid w:val="00F21FBE"/>
    <w:rsid w:val="00F244EF"/>
    <w:rsid w:val="00F26CA8"/>
    <w:rsid w:val="00F312C3"/>
    <w:rsid w:val="00F375D9"/>
    <w:rsid w:val="00F3794F"/>
    <w:rsid w:val="00F3796C"/>
    <w:rsid w:val="00F37BB5"/>
    <w:rsid w:val="00F406AB"/>
    <w:rsid w:val="00F4087E"/>
    <w:rsid w:val="00F428D3"/>
    <w:rsid w:val="00F42BAA"/>
    <w:rsid w:val="00F43999"/>
    <w:rsid w:val="00F44929"/>
    <w:rsid w:val="00F4585F"/>
    <w:rsid w:val="00F4598D"/>
    <w:rsid w:val="00F56FA3"/>
    <w:rsid w:val="00F61F64"/>
    <w:rsid w:val="00F634A8"/>
    <w:rsid w:val="00F664BF"/>
    <w:rsid w:val="00F67BD9"/>
    <w:rsid w:val="00F71C4F"/>
    <w:rsid w:val="00F7249A"/>
    <w:rsid w:val="00F72865"/>
    <w:rsid w:val="00F731E8"/>
    <w:rsid w:val="00F75863"/>
    <w:rsid w:val="00F764F2"/>
    <w:rsid w:val="00F77D17"/>
    <w:rsid w:val="00F8178A"/>
    <w:rsid w:val="00F81E2B"/>
    <w:rsid w:val="00F82853"/>
    <w:rsid w:val="00F84CAC"/>
    <w:rsid w:val="00F90F65"/>
    <w:rsid w:val="00F9155C"/>
    <w:rsid w:val="00F9623E"/>
    <w:rsid w:val="00FA0A88"/>
    <w:rsid w:val="00FA109A"/>
    <w:rsid w:val="00FA2C0C"/>
    <w:rsid w:val="00FA31D1"/>
    <w:rsid w:val="00FA6919"/>
    <w:rsid w:val="00FA6E5B"/>
    <w:rsid w:val="00FB0367"/>
    <w:rsid w:val="00FB0DA6"/>
    <w:rsid w:val="00FB3165"/>
    <w:rsid w:val="00FC21AB"/>
    <w:rsid w:val="00FC5489"/>
    <w:rsid w:val="00FC74A2"/>
    <w:rsid w:val="00FD3708"/>
    <w:rsid w:val="00FD6995"/>
    <w:rsid w:val="00FE39C3"/>
    <w:rsid w:val="00FE41D6"/>
    <w:rsid w:val="00FE5847"/>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381D53"/>
    <w:pPr>
      <w:keepLines/>
      <w:widowControl w:val="0"/>
      <w:tabs>
        <w:tab w:val="left" w:pos="113"/>
      </w:tabs>
    </w:pPr>
    <w:rPr>
      <w:rFonts w:eastAsia="Calibri" w:cstheme="minorHAnsi"/>
      <w:sz w:val="20"/>
      <w:szCs w:val="20"/>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styleId="Title">
    <w:name w:val="Title"/>
    <w:basedOn w:val="Normal"/>
    <w:link w:val="TitleChar"/>
    <w:qFormat/>
    <w:rsid w:val="000158A5"/>
    <w:pPr>
      <w:spacing w:before="120" w:line="276" w:lineRule="auto"/>
      <w:jc w:val="center"/>
    </w:pPr>
    <w:rPr>
      <w:rFonts w:ascii="Times New Roman Bold" w:eastAsia="Times New Roman" w:hAnsi="Times New Roman Bold" w:cs="Times New Roman"/>
      <w:b/>
      <w:color w:val="00539B"/>
      <w:sz w:val="24"/>
      <w:szCs w:val="20"/>
      <w:lang w:val="en-GB" w:eastAsia="en-GB"/>
    </w:rPr>
  </w:style>
  <w:style w:type="character" w:customStyle="1" w:styleId="TitleChar">
    <w:name w:val="Title Char"/>
    <w:basedOn w:val="DefaultParagraphFont"/>
    <w:link w:val="Title"/>
    <w:rsid w:val="000158A5"/>
    <w:rPr>
      <w:rFonts w:ascii="Times New Roman Bold" w:eastAsia="Times New Roman" w:hAnsi="Times New Roman Bold" w:cs="Times New Roman"/>
      <w:b/>
      <w:color w:val="00539B"/>
      <w:sz w:val="24"/>
      <w:szCs w:val="20"/>
      <w:lang w:val="en-GB" w:eastAsia="en-GB"/>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rsid w:val="00514C4A"/>
    <w:pPr>
      <w:spacing w:after="160" w:line="240" w:lineRule="exact"/>
    </w:pPr>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0" ma:contentTypeDescription="Create a new document." ma:contentTypeScope="" ma:versionID="5602d97d8e0043f95b11bc66bb91c2fb">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ea720082634ef8e09475afdf13469e48"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876F-8629-4373-90EC-FACFEF23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4090AA-2A26-4FFE-8C28-6B42779F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Ifeta Smajic</cp:lastModifiedBy>
  <cp:revision>2</cp:revision>
  <cp:lastPrinted>2019-07-26T18:53:00Z</cp:lastPrinted>
  <dcterms:created xsi:type="dcterms:W3CDTF">2019-11-08T02:42:00Z</dcterms:created>
  <dcterms:modified xsi:type="dcterms:W3CDTF">2019-11-08T02:42:00Z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PRC0004140</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P167634</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APR:3.0,APR:7.0,APR:2.0,NEG:5.0,NEG:8.0</vt:lpwstr>
  </property>
  <property fmtid="{D5CDD505-2E9C-101B-9397-08002B2CF9AE}" pid="13" name="DisclosedVersion">
    <vt:lpwstr>APR:4.0,APR:8.0,APR:3.0,NEG:6.0,NEG:9.0</vt:lpwstr>
  </property>
</Properties>
</file>