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014E" w14:textId="77777777" w:rsidR="00F60737" w:rsidRPr="00B47FA8" w:rsidRDefault="00F60737" w:rsidP="00F60737">
      <w:pPr>
        <w:pStyle w:val="Heading1"/>
        <w:spacing w:before="61" w:line="472" w:lineRule="auto"/>
        <w:ind w:left="2329" w:right="2376" w:firstLine="0"/>
        <w:jc w:val="center"/>
      </w:pPr>
      <w:r w:rsidRPr="00B47FA8">
        <w:t>Terms</w:t>
      </w:r>
      <w:r w:rsidRPr="00B47FA8">
        <w:rPr>
          <w:spacing w:val="7"/>
        </w:rPr>
        <w:t xml:space="preserve"> </w:t>
      </w:r>
      <w:r w:rsidRPr="00B47FA8">
        <w:t xml:space="preserve">of </w:t>
      </w:r>
      <w:r w:rsidRPr="00B47FA8">
        <w:rPr>
          <w:spacing w:val="-13"/>
        </w:rPr>
        <w:t>Reference</w:t>
      </w:r>
      <w:r w:rsidRPr="00B47FA8">
        <w:t xml:space="preserve"> and Scope of Services for</w:t>
      </w:r>
    </w:p>
    <w:p w14:paraId="69FB6C8F" w14:textId="132E5C34" w:rsidR="00F60737" w:rsidRPr="00B47FA8" w:rsidRDefault="0040496D" w:rsidP="00F60737">
      <w:pPr>
        <w:spacing w:after="240"/>
        <w:jc w:val="center"/>
        <w:rPr>
          <w:b/>
          <w:bCs/>
          <w:sz w:val="24"/>
          <w:szCs w:val="24"/>
        </w:rPr>
      </w:pPr>
      <w:r>
        <w:rPr>
          <w:b/>
          <w:bCs/>
          <w:sz w:val="24"/>
          <w:szCs w:val="24"/>
        </w:rPr>
        <w:t xml:space="preserve">Audit </w:t>
      </w:r>
      <w:r w:rsidR="00216246">
        <w:rPr>
          <w:b/>
          <w:bCs/>
          <w:sz w:val="24"/>
          <w:szCs w:val="24"/>
        </w:rPr>
        <w:t xml:space="preserve">of reference prices </w:t>
      </w:r>
      <w:r>
        <w:rPr>
          <w:b/>
          <w:bCs/>
          <w:sz w:val="24"/>
          <w:szCs w:val="24"/>
        </w:rPr>
        <w:t xml:space="preserve">and </w:t>
      </w:r>
      <w:r w:rsidR="00216246">
        <w:rPr>
          <w:b/>
          <w:bCs/>
          <w:sz w:val="24"/>
          <w:szCs w:val="24"/>
        </w:rPr>
        <w:t xml:space="preserve">preparation of guidelines for SCAP potential applicants under the </w:t>
      </w:r>
      <w:r w:rsidR="00055E17">
        <w:rPr>
          <w:b/>
          <w:bCs/>
          <w:sz w:val="24"/>
          <w:szCs w:val="24"/>
        </w:rPr>
        <w:t>3</w:t>
      </w:r>
      <w:r w:rsidR="00055E17" w:rsidRPr="00055E17">
        <w:rPr>
          <w:b/>
          <w:bCs/>
          <w:sz w:val="24"/>
          <w:szCs w:val="24"/>
          <w:vertAlign w:val="superscript"/>
        </w:rPr>
        <w:t>rd</w:t>
      </w:r>
      <w:r w:rsidR="00055E17">
        <w:rPr>
          <w:b/>
          <w:bCs/>
          <w:sz w:val="24"/>
          <w:szCs w:val="24"/>
        </w:rPr>
        <w:t xml:space="preserve"> Call for proposals intended for aggregators and agribusinesses</w:t>
      </w:r>
    </w:p>
    <w:p w14:paraId="69152D4F" w14:textId="77777777" w:rsidR="00F60737" w:rsidRPr="00B47FA8" w:rsidRDefault="00F60737" w:rsidP="00F60737">
      <w:pPr>
        <w:spacing w:after="240"/>
        <w:rPr>
          <w:b/>
          <w:bCs/>
          <w:sz w:val="24"/>
          <w:szCs w:val="24"/>
        </w:rPr>
      </w:pPr>
    </w:p>
    <w:p w14:paraId="6C78209D" w14:textId="77777777" w:rsidR="00F60737" w:rsidRPr="00B47FA8" w:rsidRDefault="00F60737" w:rsidP="00F60737">
      <w:pPr>
        <w:pStyle w:val="Heading1"/>
        <w:numPr>
          <w:ilvl w:val="0"/>
          <w:numId w:val="1"/>
        </w:numPr>
        <w:tabs>
          <w:tab w:val="left" w:pos="823"/>
        </w:tabs>
      </w:pPr>
      <w:r w:rsidRPr="00B47FA8">
        <w:t>Background</w:t>
      </w:r>
    </w:p>
    <w:p w14:paraId="57881CF9" w14:textId="77777777" w:rsidR="00F60737" w:rsidRPr="00B47FA8" w:rsidRDefault="00F60737" w:rsidP="00F60737">
      <w:pPr>
        <w:pStyle w:val="BodyText"/>
        <w:spacing w:before="11"/>
        <w:ind w:left="0"/>
        <w:jc w:val="left"/>
        <w:rPr>
          <w:b/>
          <w:sz w:val="21"/>
        </w:rPr>
      </w:pPr>
    </w:p>
    <w:p w14:paraId="1BCC52B4" w14:textId="77777777" w:rsidR="00F60737" w:rsidRPr="00B47FA8" w:rsidRDefault="00F60737" w:rsidP="00F60737">
      <w:pPr>
        <w:pStyle w:val="Heading1"/>
        <w:tabs>
          <w:tab w:val="left" w:pos="823"/>
        </w:tabs>
        <w:ind w:left="0" w:firstLine="0"/>
        <w:jc w:val="both"/>
        <w:rPr>
          <w:b w:val="0"/>
          <w:bCs w:val="0"/>
        </w:rPr>
      </w:pPr>
      <w:r w:rsidRPr="00B47FA8">
        <w:rPr>
          <w:b w:val="0"/>
          <w:bCs w:val="0"/>
        </w:rP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088D797E" w14:textId="77777777" w:rsidR="00F60737" w:rsidRPr="00B47FA8" w:rsidRDefault="00F60737" w:rsidP="00F60737">
      <w:pPr>
        <w:pStyle w:val="Heading1"/>
        <w:tabs>
          <w:tab w:val="left" w:pos="823"/>
        </w:tabs>
        <w:ind w:left="0" w:firstLine="0"/>
        <w:jc w:val="both"/>
        <w:rPr>
          <w:b w:val="0"/>
          <w:bCs w:val="0"/>
        </w:rPr>
      </w:pPr>
    </w:p>
    <w:p w14:paraId="367A8FCB" w14:textId="77777777" w:rsidR="00F60737" w:rsidRPr="00B47FA8" w:rsidRDefault="00F60737" w:rsidP="00F60737">
      <w:pPr>
        <w:pStyle w:val="Heading1"/>
        <w:tabs>
          <w:tab w:val="left" w:pos="823"/>
        </w:tabs>
        <w:ind w:left="0" w:firstLine="0"/>
        <w:jc w:val="both"/>
        <w:rPr>
          <w:b w:val="0"/>
          <w:bCs w:val="0"/>
        </w:rPr>
      </w:pPr>
      <w:r w:rsidRPr="00B47FA8">
        <w:rPr>
          <w:b w:val="0"/>
          <w:bCs w:val="0"/>
        </w:rPr>
        <w:t>The Project aims to provide financial and technical support to all productive investments in agriculture in Serbia through the national rural development program and will not finance direct payments (subsidies).</w:t>
      </w:r>
      <w:r w:rsidRPr="00B47FA8">
        <w:rPr>
          <w:b w:val="0"/>
          <w:bCs w:val="0"/>
          <w:vertAlign w:val="superscript"/>
        </w:rPr>
        <w:t>1</w:t>
      </w:r>
      <w:r>
        <w:rPr>
          <w:b w:val="0"/>
          <w:bCs w:val="0"/>
        </w:rPr>
        <w:t xml:space="preserve"> </w:t>
      </w:r>
      <w:r w:rsidRPr="00B47FA8">
        <w:rPr>
          <w:b w:val="0"/>
          <w:bCs w:val="0"/>
        </w:rPr>
        <w:t>This delimits the scope of Project interventions outside of all IPARD measures that the country has been accredited for or plans to be accredited for and puts it in the center of national rural development program.</w:t>
      </w:r>
    </w:p>
    <w:p w14:paraId="16EB415B" w14:textId="77777777" w:rsidR="00F60737" w:rsidRPr="00B47FA8" w:rsidRDefault="00F60737" w:rsidP="00F60737">
      <w:pPr>
        <w:pStyle w:val="Heading1"/>
        <w:tabs>
          <w:tab w:val="left" w:pos="823"/>
        </w:tabs>
        <w:ind w:left="0" w:firstLine="0"/>
        <w:jc w:val="both"/>
        <w:rPr>
          <w:b w:val="0"/>
          <w:bCs w:val="0"/>
        </w:rPr>
      </w:pPr>
    </w:p>
    <w:p w14:paraId="5A36F508" w14:textId="77777777" w:rsidR="00F60737" w:rsidRPr="00B47FA8" w:rsidRDefault="00F60737" w:rsidP="00F60737">
      <w:pPr>
        <w:pStyle w:val="Heading1"/>
        <w:tabs>
          <w:tab w:val="left" w:pos="823"/>
        </w:tabs>
        <w:ind w:left="0" w:firstLine="0"/>
        <w:jc w:val="both"/>
        <w:rPr>
          <w:b w:val="0"/>
          <w:bCs w:val="0"/>
        </w:rPr>
      </w:pPr>
      <w:r w:rsidRPr="00B47FA8">
        <w:rPr>
          <w:b w:val="0"/>
          <w:bCs w:val="0"/>
        </w:rPr>
        <w:t>Project 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09631DDC" w14:textId="77777777" w:rsidR="00F60737" w:rsidRPr="00B47FA8" w:rsidRDefault="00F60737" w:rsidP="00F60737">
      <w:pPr>
        <w:pStyle w:val="Heading1"/>
        <w:tabs>
          <w:tab w:val="left" w:pos="823"/>
        </w:tabs>
        <w:ind w:left="0" w:firstLine="0"/>
        <w:jc w:val="both"/>
        <w:rPr>
          <w:b w:val="0"/>
          <w:bCs w:val="0"/>
        </w:rPr>
      </w:pPr>
    </w:p>
    <w:p w14:paraId="3A7D2E41" w14:textId="77777777" w:rsidR="00F60737" w:rsidRPr="00B47FA8" w:rsidRDefault="00F60737" w:rsidP="00F60737">
      <w:pPr>
        <w:pStyle w:val="Heading1"/>
        <w:tabs>
          <w:tab w:val="left" w:pos="823"/>
        </w:tabs>
        <w:ind w:left="0" w:firstLine="0"/>
        <w:jc w:val="both"/>
        <w:rPr>
          <w:b w:val="0"/>
          <w:bCs w:val="0"/>
        </w:rPr>
      </w:pPr>
      <w:r w:rsidRPr="00B47FA8">
        <w:rPr>
          <w:b w:val="0"/>
          <w:bCs w:val="0"/>
        </w:rPr>
        <w:t>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w:t>
      </w:r>
    </w:p>
    <w:p w14:paraId="6F644954" w14:textId="77777777" w:rsidR="00F60737" w:rsidRPr="00B47FA8" w:rsidRDefault="00F60737" w:rsidP="00F60737">
      <w:pPr>
        <w:pStyle w:val="Heading1"/>
        <w:tabs>
          <w:tab w:val="left" w:pos="823"/>
        </w:tabs>
        <w:ind w:left="0" w:firstLine="0"/>
        <w:jc w:val="both"/>
        <w:rPr>
          <w:b w:val="0"/>
          <w:bCs w:val="0"/>
        </w:rPr>
      </w:pPr>
      <w:r w:rsidRPr="00B47FA8">
        <w:rPr>
          <w:b w:val="0"/>
          <w:bCs w:val="0"/>
          <w:noProof/>
        </w:rPr>
        <mc:AlternateContent>
          <mc:Choice Requires="wps">
            <w:drawing>
              <wp:anchor distT="0" distB="0" distL="0" distR="0" simplePos="0" relativeHeight="251659264" behindDoc="1" locked="0" layoutInCell="1" allowOverlap="1" wp14:anchorId="335D249D" wp14:editId="17525B67">
                <wp:simplePos x="0" y="0"/>
                <wp:positionH relativeFrom="page">
                  <wp:posOffset>915670</wp:posOffset>
                </wp:positionH>
                <wp:positionV relativeFrom="paragraph">
                  <wp:posOffset>108585</wp:posOffset>
                </wp:positionV>
                <wp:extent cx="1831340" cy="1016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C468" id="Rectangle 3" o:spid="_x0000_s1026" style="position:absolute;margin-left:72.1pt;margin-top:8.55pt;width:144.2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" fillcolor="black" stroked="f">
                <w10:wrap type="topAndBottom" anchorx="page"/>
              </v:rect>
            </w:pict>
          </mc:Fallback>
        </mc:AlternateContent>
      </w:r>
    </w:p>
    <w:p w14:paraId="755E13EC" w14:textId="77777777" w:rsidR="00F60737" w:rsidRPr="00B47FA8" w:rsidRDefault="00F60737" w:rsidP="00F60737">
      <w:pPr>
        <w:pStyle w:val="Heading1"/>
        <w:tabs>
          <w:tab w:val="left" w:pos="823"/>
        </w:tabs>
        <w:ind w:left="0" w:firstLine="0"/>
        <w:jc w:val="both"/>
        <w:rPr>
          <w:b w:val="0"/>
          <w:bCs w:val="0"/>
          <w:sz w:val="20"/>
          <w:szCs w:val="20"/>
        </w:rPr>
      </w:pPr>
      <w:r w:rsidRPr="00B47FA8">
        <w:rPr>
          <w:b w:val="0"/>
          <w:bCs w:val="0"/>
          <w:sz w:val="20"/>
          <w:szCs w:val="20"/>
          <w:vertAlign w:val="superscript"/>
        </w:rPr>
        <w:t>1</w:t>
      </w:r>
      <w:r w:rsidRPr="00B47FA8">
        <w:rPr>
          <w:b w:val="0"/>
          <w:bCs w:val="0"/>
          <w:sz w:val="20"/>
          <w:szCs w:val="20"/>
        </w:rPr>
        <w:t>In 2018, the program received 8,000 applications from small and medium scale producers.</w:t>
      </w:r>
    </w:p>
    <w:p w14:paraId="352F410B" w14:textId="77777777" w:rsidR="00F60737" w:rsidRPr="00B47FA8" w:rsidRDefault="00F60737" w:rsidP="00F60737">
      <w:pPr>
        <w:pStyle w:val="Heading1"/>
        <w:tabs>
          <w:tab w:val="left" w:pos="823"/>
        </w:tabs>
        <w:ind w:left="0" w:firstLine="0"/>
        <w:jc w:val="both"/>
        <w:rPr>
          <w:b w:val="0"/>
          <w:bCs w:val="0"/>
        </w:rPr>
        <w:sectPr w:rsidR="00F60737" w:rsidRPr="00B47FA8">
          <w:footerReference w:type="default" r:id="rId7"/>
          <w:pgSz w:w="12240" w:h="15840"/>
          <w:pgMar w:top="1380" w:right="1300" w:bottom="280" w:left="1340" w:header="720" w:footer="720" w:gutter="0"/>
          <w:cols w:space="720"/>
        </w:sectPr>
      </w:pPr>
    </w:p>
    <w:p w14:paraId="70DF03A8" w14:textId="77777777" w:rsidR="00F60737" w:rsidRPr="00B47FA8" w:rsidRDefault="00F60737" w:rsidP="00F60737">
      <w:pPr>
        <w:pStyle w:val="Heading1"/>
        <w:tabs>
          <w:tab w:val="left" w:pos="823"/>
        </w:tabs>
        <w:ind w:left="0" w:firstLine="0"/>
        <w:jc w:val="both"/>
        <w:rPr>
          <w:b w:val="0"/>
          <w:bCs w:val="0"/>
        </w:rPr>
      </w:pPr>
    </w:p>
    <w:p w14:paraId="369C3ADE" w14:textId="77777777" w:rsidR="00F60737" w:rsidRPr="00B47FA8" w:rsidRDefault="00F60737" w:rsidP="00F60737">
      <w:pPr>
        <w:pStyle w:val="Heading1"/>
        <w:tabs>
          <w:tab w:val="left" w:pos="823"/>
        </w:tabs>
        <w:ind w:left="0" w:firstLine="0"/>
        <w:jc w:val="both"/>
        <w:rPr>
          <w:b w:val="0"/>
          <w:bCs w:val="0"/>
        </w:rPr>
      </w:pPr>
      <w:r w:rsidRPr="00B47FA8">
        <w:rPr>
          <w:b w:val="0"/>
          <w:bCs w:val="0"/>
        </w:rPr>
        <w:t xml:space="preserve">By addressing sector needs at the level of producers (Component 1) and the MAFWM (Component 2), the Project will support a broader policy reform process in the agriculture sector through: </w:t>
      </w:r>
      <w:proofErr w:type="spellStart"/>
      <w:r w:rsidRPr="00B47FA8">
        <w:rPr>
          <w:b w:val="0"/>
          <w:bCs w:val="0"/>
        </w:rPr>
        <w:t>i</w:t>
      </w:r>
      <w:proofErr w:type="spellEnd"/>
      <w:r w:rsidRPr="00B47FA8">
        <w:rPr>
          <w:b w:val="0"/>
          <w:bCs w:val="0"/>
        </w:rPr>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r>
        <w:rPr>
          <w:b w:val="0"/>
          <w:bCs w:val="0"/>
        </w:rPr>
        <w:t xml:space="preserve"> </w:t>
      </w:r>
      <w:r w:rsidRPr="00B47FA8">
        <w:rPr>
          <w:b w:val="0"/>
          <w:bCs w:val="0"/>
        </w:rPr>
        <w:t xml:space="preserve">The Project is implemented over a period of 5 years starting </w:t>
      </w:r>
      <w:r>
        <w:rPr>
          <w:b w:val="0"/>
          <w:bCs w:val="0"/>
        </w:rPr>
        <w:t>from</w:t>
      </w:r>
      <w:r w:rsidRPr="00B47FA8">
        <w:rPr>
          <w:b w:val="0"/>
          <w:bCs w:val="0"/>
        </w:rPr>
        <w:t xml:space="preserve"> December 2019. The Project has been prepared under the World Bank’s new Environment and Social Framework (ESF).</w:t>
      </w:r>
    </w:p>
    <w:p w14:paraId="228B33C9" w14:textId="77777777" w:rsidR="00F60737" w:rsidRPr="00B47FA8" w:rsidRDefault="00F60737" w:rsidP="00F60737">
      <w:pPr>
        <w:pStyle w:val="Heading1"/>
        <w:tabs>
          <w:tab w:val="left" w:pos="823"/>
        </w:tabs>
        <w:ind w:left="0" w:firstLine="0"/>
        <w:jc w:val="both"/>
        <w:rPr>
          <w:b w:val="0"/>
          <w:bCs w:val="0"/>
        </w:rPr>
      </w:pPr>
    </w:p>
    <w:p w14:paraId="514E7764" w14:textId="5E9A87E3" w:rsidR="00F60737" w:rsidRPr="00482A04" w:rsidRDefault="00055E17" w:rsidP="00F60737">
      <w:pPr>
        <w:widowControl/>
        <w:autoSpaceDE/>
        <w:autoSpaceDN/>
        <w:jc w:val="both"/>
        <w:outlineLvl w:val="0"/>
        <w:rPr>
          <w:b/>
          <w:bCs/>
          <w:color w:val="222222"/>
          <w:kern w:val="36"/>
          <w:sz w:val="24"/>
          <w:szCs w:val="24"/>
          <w:lang w:val="bs-Latn-BA" w:eastAsia="bs-Latn-BA"/>
        </w:rPr>
      </w:pPr>
      <w:r>
        <w:rPr>
          <w:color w:val="222222"/>
          <w:kern w:val="36"/>
          <w:sz w:val="24"/>
          <w:szCs w:val="24"/>
          <w:lang w:eastAsia="bs-Latn-BA"/>
        </w:rPr>
        <w:t>The Project has by now successfully implemented 2 Calls for proposals, whereas 1</w:t>
      </w:r>
      <w:r w:rsidRPr="00055E17">
        <w:rPr>
          <w:color w:val="222222"/>
          <w:kern w:val="36"/>
          <w:sz w:val="24"/>
          <w:szCs w:val="24"/>
          <w:vertAlign w:val="superscript"/>
          <w:lang w:eastAsia="bs-Latn-BA"/>
        </w:rPr>
        <w:t>st</w:t>
      </w:r>
      <w:r>
        <w:rPr>
          <w:color w:val="222222"/>
          <w:kern w:val="36"/>
          <w:sz w:val="24"/>
          <w:szCs w:val="24"/>
          <w:lang w:eastAsia="bs-Latn-BA"/>
        </w:rPr>
        <w:t xml:space="preserve"> call was intended to support primary producers, farmers, in the sector of fruits, vegetables, grapes and flowers; 2</w:t>
      </w:r>
      <w:r w:rsidRPr="00055E17">
        <w:rPr>
          <w:color w:val="222222"/>
          <w:kern w:val="36"/>
          <w:sz w:val="24"/>
          <w:szCs w:val="24"/>
          <w:vertAlign w:val="superscript"/>
          <w:lang w:eastAsia="bs-Latn-BA"/>
        </w:rPr>
        <w:t>nd</w:t>
      </w:r>
      <w:r>
        <w:rPr>
          <w:color w:val="222222"/>
          <w:kern w:val="36"/>
          <w:sz w:val="24"/>
          <w:szCs w:val="24"/>
          <w:lang w:eastAsia="bs-Latn-BA"/>
        </w:rPr>
        <w:t xml:space="preserve"> Call for proposals was targeting primary producers in the livestock, milk, cheese, and honey sectors. Sub-projects maximum value was up to 50,000 EUR, and, the majority of investments were focusing agriculture machinery, smaller investments into renewable energy, innovation, digitalization, etc. However, based on the No objection to GOM and ESMF received by the World Bank on the amendments from the 17</w:t>
      </w:r>
      <w:r w:rsidRPr="00055E17">
        <w:rPr>
          <w:color w:val="222222"/>
          <w:kern w:val="36"/>
          <w:sz w:val="24"/>
          <w:szCs w:val="24"/>
          <w:vertAlign w:val="superscript"/>
          <w:lang w:eastAsia="bs-Latn-BA"/>
        </w:rPr>
        <w:t>th</w:t>
      </w:r>
      <w:r>
        <w:rPr>
          <w:color w:val="222222"/>
          <w:kern w:val="36"/>
          <w:sz w:val="24"/>
          <w:szCs w:val="24"/>
          <w:lang w:eastAsia="bs-Latn-BA"/>
        </w:rPr>
        <w:t xml:space="preserve"> of July 2023, focusing detailed list of eligible investments of potential applicants, scoring list, evaluation and selection criteria for targeted beneficiaries, aggregators and agribusinesses, </w:t>
      </w:r>
      <w:r w:rsidR="00AB19E2">
        <w:rPr>
          <w:color w:val="222222"/>
          <w:kern w:val="36"/>
          <w:sz w:val="24"/>
          <w:szCs w:val="24"/>
          <w:lang w:eastAsia="bs-Latn-BA"/>
        </w:rPr>
        <w:t xml:space="preserve">where the potential sub-projects can be by far more complex and with the maximum value going up to the 400,000 EUR, </w:t>
      </w:r>
      <w:r>
        <w:rPr>
          <w:color w:val="222222"/>
          <w:kern w:val="36"/>
          <w:sz w:val="24"/>
          <w:szCs w:val="24"/>
          <w:lang w:eastAsia="bs-Latn-BA"/>
        </w:rPr>
        <w:t xml:space="preserve">the need to have a </w:t>
      </w:r>
      <w:r w:rsidR="00AB19E2">
        <w:rPr>
          <w:color w:val="222222"/>
          <w:kern w:val="36"/>
          <w:sz w:val="24"/>
          <w:szCs w:val="24"/>
          <w:lang w:eastAsia="bs-Latn-BA"/>
        </w:rPr>
        <w:t xml:space="preserve">database of so called “reference prices” to support the process of reviewing beneficiary’s documentation and eliminate potential misuse of matching grants has become evident to the SCAP PMT. The approach that has been proposed to be used is aligned with the EU and IPARD funds, where the Managing authority has a database of reference prices for Measure 3, purchase of processing equipment, construction works, renewable energy and environment protection investments, etc. </w:t>
      </w:r>
    </w:p>
    <w:p w14:paraId="4A471B35" w14:textId="77777777" w:rsidR="00F60737" w:rsidRPr="00B47FA8" w:rsidRDefault="00F60737" w:rsidP="00F60737">
      <w:pPr>
        <w:jc w:val="both"/>
      </w:pPr>
    </w:p>
    <w:p w14:paraId="24EB9EF7" w14:textId="77777777" w:rsidR="00F60737" w:rsidRPr="00B47FA8" w:rsidRDefault="00F60737" w:rsidP="00F60737">
      <w:pPr>
        <w:pStyle w:val="BodyText"/>
        <w:spacing w:before="7"/>
        <w:ind w:left="0"/>
        <w:rPr>
          <w:sz w:val="21"/>
        </w:rPr>
      </w:pPr>
    </w:p>
    <w:p w14:paraId="7E3E33FB" w14:textId="695BE70E" w:rsidR="00F60737" w:rsidRDefault="00F60737" w:rsidP="00F60737">
      <w:pPr>
        <w:pStyle w:val="Heading1"/>
        <w:numPr>
          <w:ilvl w:val="0"/>
          <w:numId w:val="1"/>
        </w:numPr>
        <w:tabs>
          <w:tab w:val="left" w:pos="823"/>
        </w:tabs>
        <w:jc w:val="both"/>
      </w:pPr>
      <w:r w:rsidRPr="00B47FA8">
        <w:t xml:space="preserve">Objective of the assignment </w:t>
      </w:r>
    </w:p>
    <w:p w14:paraId="4BD06306" w14:textId="1473AC3B" w:rsidR="00AB19E2" w:rsidRDefault="00AB19E2" w:rsidP="00AB19E2">
      <w:pPr>
        <w:pStyle w:val="Heading1"/>
        <w:tabs>
          <w:tab w:val="left" w:pos="823"/>
        </w:tabs>
        <w:ind w:left="0" w:firstLine="0"/>
        <w:jc w:val="both"/>
      </w:pPr>
    </w:p>
    <w:p w14:paraId="34A31F1D" w14:textId="17CD4DA5" w:rsidR="00AB19E2" w:rsidRDefault="0096782A" w:rsidP="00AB19E2">
      <w:pPr>
        <w:pStyle w:val="Heading1"/>
        <w:tabs>
          <w:tab w:val="left" w:pos="823"/>
        </w:tabs>
        <w:ind w:left="0" w:firstLine="0"/>
        <w:jc w:val="both"/>
        <w:rPr>
          <w:b w:val="0"/>
        </w:rPr>
      </w:pPr>
      <w:r w:rsidRPr="0096782A">
        <w:rPr>
          <w:b w:val="0"/>
        </w:rPr>
        <w:t xml:space="preserve">The </w:t>
      </w:r>
      <w:r>
        <w:rPr>
          <w:b w:val="0"/>
        </w:rPr>
        <w:t xml:space="preserve">objective of this assignment is to support the evaluation process, grant contract management, review and approval of proposed budgets for specific eligible investments, in order to prevent any potential misuse of matching grants funds, under the sub-projects of targeted beneficiaries under Call for proposals. </w:t>
      </w:r>
    </w:p>
    <w:p w14:paraId="3A287C72" w14:textId="3E3B0286" w:rsidR="0096782A" w:rsidRDefault="0096782A" w:rsidP="00AB19E2">
      <w:pPr>
        <w:pStyle w:val="Heading1"/>
        <w:tabs>
          <w:tab w:val="left" w:pos="823"/>
        </w:tabs>
        <w:ind w:left="0" w:firstLine="0"/>
        <w:jc w:val="both"/>
        <w:rPr>
          <w:b w:val="0"/>
        </w:rPr>
      </w:pPr>
    </w:p>
    <w:p w14:paraId="78DC91BD" w14:textId="3FA42CA7" w:rsidR="0096782A" w:rsidRDefault="0096782A" w:rsidP="00AB19E2">
      <w:pPr>
        <w:pStyle w:val="Heading1"/>
        <w:tabs>
          <w:tab w:val="left" w:pos="823"/>
        </w:tabs>
        <w:ind w:left="0" w:firstLine="0"/>
        <w:jc w:val="both"/>
        <w:rPr>
          <w:b w:val="0"/>
        </w:rPr>
      </w:pPr>
      <w:r>
        <w:rPr>
          <w:b w:val="0"/>
        </w:rPr>
        <w:t xml:space="preserve">As it was stated in the Background section of this document, for the majority of investments under the first </w:t>
      </w:r>
      <w:r w:rsidR="00AE1D46">
        <w:rPr>
          <w:b w:val="0"/>
        </w:rPr>
        <w:t xml:space="preserve">and second </w:t>
      </w:r>
      <w:r>
        <w:rPr>
          <w:b w:val="0"/>
        </w:rPr>
        <w:t>Call for proposals, the reference or unit price was eas</w:t>
      </w:r>
      <w:r w:rsidR="00C51818">
        <w:rPr>
          <w:b w:val="0"/>
        </w:rPr>
        <w:t>ily</w:t>
      </w:r>
      <w:r>
        <w:rPr>
          <w:b w:val="0"/>
        </w:rPr>
        <w:t xml:space="preserve"> determined, compared and checked, </w:t>
      </w:r>
      <w:r w:rsidR="00C51818">
        <w:rPr>
          <w:b w:val="0"/>
        </w:rPr>
        <w:t>whether</w:t>
      </w:r>
      <w:r>
        <w:rPr>
          <w:b w:val="0"/>
        </w:rPr>
        <w:t xml:space="preserve"> it </w:t>
      </w:r>
      <w:r w:rsidR="00C51818">
        <w:rPr>
          <w:b w:val="0"/>
        </w:rPr>
        <w:t>was</w:t>
      </w:r>
      <w:r>
        <w:rPr>
          <w:b w:val="0"/>
        </w:rPr>
        <w:t xml:space="preserve"> in line with the market prices. However, specifically for the 3</w:t>
      </w:r>
      <w:r w:rsidRPr="0096782A">
        <w:rPr>
          <w:b w:val="0"/>
          <w:vertAlign w:val="superscript"/>
        </w:rPr>
        <w:t>rd</w:t>
      </w:r>
      <w:r>
        <w:rPr>
          <w:b w:val="0"/>
        </w:rPr>
        <w:t xml:space="preserve"> </w:t>
      </w:r>
      <w:proofErr w:type="spellStart"/>
      <w:r>
        <w:rPr>
          <w:b w:val="0"/>
        </w:rPr>
        <w:t>CfP</w:t>
      </w:r>
      <w:proofErr w:type="spellEnd"/>
      <w:r>
        <w:rPr>
          <w:b w:val="0"/>
        </w:rPr>
        <w:t xml:space="preserve">, where the </w:t>
      </w:r>
      <w:r w:rsidR="00C51818">
        <w:rPr>
          <w:b w:val="0"/>
        </w:rPr>
        <w:t>more complex</w:t>
      </w:r>
      <w:r>
        <w:rPr>
          <w:b w:val="0"/>
        </w:rPr>
        <w:t xml:space="preserve"> investments into the processing equipment, renewable energy infrastructure, environmental protection infrastructure, investments into digitalization and innovation activities are </w:t>
      </w:r>
      <w:r w:rsidR="00C51818">
        <w:rPr>
          <w:b w:val="0"/>
        </w:rPr>
        <w:t>foreseen</w:t>
      </w:r>
      <w:r>
        <w:rPr>
          <w:b w:val="0"/>
        </w:rPr>
        <w:t xml:space="preserve">, </w:t>
      </w:r>
      <w:r w:rsidR="00C51818">
        <w:rPr>
          <w:b w:val="0"/>
        </w:rPr>
        <w:t>as well as</w:t>
      </w:r>
      <w:r>
        <w:rPr>
          <w:b w:val="0"/>
        </w:rPr>
        <w:t xml:space="preserve"> the investments into construction, adaptation or </w:t>
      </w:r>
      <w:r w:rsidR="00C51818">
        <w:rPr>
          <w:b w:val="0"/>
        </w:rPr>
        <w:t xml:space="preserve">renovation of buildings and facilities, there is a clear need to support the </w:t>
      </w:r>
      <w:r w:rsidR="00F307EA">
        <w:rPr>
          <w:b w:val="0"/>
        </w:rPr>
        <w:t xml:space="preserve">potential beneficiaries in planning their investments based on reference prices on the market, SCAP team of processors that will be using this database to compare, review and match prices proposed in the business plans of SCAP beneficiaries, and then, later on, during the review and approval process under the implementation of grant procurement processes. </w:t>
      </w:r>
    </w:p>
    <w:p w14:paraId="1851E19B" w14:textId="1848B01B" w:rsidR="00F307EA" w:rsidRDefault="00F307EA" w:rsidP="00AB19E2">
      <w:pPr>
        <w:pStyle w:val="Heading1"/>
        <w:tabs>
          <w:tab w:val="left" w:pos="823"/>
        </w:tabs>
        <w:ind w:left="0" w:firstLine="0"/>
        <w:jc w:val="both"/>
        <w:rPr>
          <w:b w:val="0"/>
        </w:rPr>
      </w:pPr>
    </w:p>
    <w:p w14:paraId="6662F735" w14:textId="4B5F1595" w:rsidR="00B22B20" w:rsidRDefault="00F307EA" w:rsidP="00F307EA">
      <w:pPr>
        <w:pStyle w:val="Heading1"/>
        <w:tabs>
          <w:tab w:val="left" w:pos="823"/>
        </w:tabs>
        <w:ind w:left="0" w:firstLine="0"/>
        <w:jc w:val="both"/>
        <w:rPr>
          <w:b w:val="0"/>
        </w:rPr>
      </w:pPr>
      <w:r>
        <w:rPr>
          <w:b w:val="0"/>
        </w:rPr>
        <w:lastRenderedPageBreak/>
        <w:t>The results under this assignment will allow SCAP team to reduce the level of any kind of misuse of matching grants to zero.</w:t>
      </w:r>
    </w:p>
    <w:p w14:paraId="19CBD4F7" w14:textId="3BB5C76C" w:rsidR="00F307EA" w:rsidRDefault="00F307EA" w:rsidP="00F307EA">
      <w:pPr>
        <w:pStyle w:val="Heading1"/>
        <w:tabs>
          <w:tab w:val="left" w:pos="823"/>
        </w:tabs>
        <w:ind w:left="0" w:firstLine="0"/>
        <w:jc w:val="both"/>
        <w:rPr>
          <w:b w:val="0"/>
        </w:rPr>
      </w:pPr>
    </w:p>
    <w:p w14:paraId="47B03CD8" w14:textId="7FBE0996" w:rsidR="00F307EA" w:rsidRDefault="00F307EA" w:rsidP="00F307EA">
      <w:pPr>
        <w:pStyle w:val="Heading1"/>
        <w:tabs>
          <w:tab w:val="left" w:pos="823"/>
        </w:tabs>
        <w:ind w:left="0" w:firstLine="0"/>
        <w:jc w:val="both"/>
        <w:rPr>
          <w:b w:val="0"/>
        </w:rPr>
      </w:pPr>
      <w:r>
        <w:rPr>
          <w:b w:val="0"/>
        </w:rPr>
        <w:t>Additional benefits of this assignment include support to the implementation of IPARD measures, which represent one of the measures of scaling up the funds provided by SCAP, as well as the capacity building and assistance to SCAP beneficiaries by introducing to them procedures that are aligned with the IPARD procedures.</w:t>
      </w:r>
    </w:p>
    <w:p w14:paraId="3882CAA3" w14:textId="0CA48E88" w:rsidR="00696F27" w:rsidRDefault="00696F27" w:rsidP="00F307EA">
      <w:pPr>
        <w:pStyle w:val="Heading1"/>
        <w:tabs>
          <w:tab w:val="left" w:pos="823"/>
        </w:tabs>
        <w:ind w:left="0" w:firstLine="0"/>
        <w:jc w:val="both"/>
        <w:rPr>
          <w:b w:val="0"/>
        </w:rPr>
      </w:pPr>
    </w:p>
    <w:p w14:paraId="3E003192" w14:textId="195CEE17" w:rsidR="00696F27" w:rsidRDefault="00696F27" w:rsidP="00696F27">
      <w:pPr>
        <w:pStyle w:val="Heading1"/>
        <w:numPr>
          <w:ilvl w:val="0"/>
          <w:numId w:val="1"/>
        </w:numPr>
        <w:tabs>
          <w:tab w:val="left" w:pos="823"/>
        </w:tabs>
        <w:jc w:val="both"/>
      </w:pPr>
      <w:r w:rsidRPr="00B47FA8">
        <w:t xml:space="preserve">Scope of Services </w:t>
      </w:r>
    </w:p>
    <w:p w14:paraId="2577F4FE" w14:textId="3B170EC0" w:rsidR="00696F27" w:rsidRDefault="00696F27" w:rsidP="00696F27">
      <w:pPr>
        <w:pStyle w:val="Heading1"/>
        <w:tabs>
          <w:tab w:val="left" w:pos="823"/>
        </w:tabs>
        <w:ind w:left="0" w:firstLine="0"/>
        <w:jc w:val="both"/>
      </w:pPr>
    </w:p>
    <w:p w14:paraId="7E9DBE21" w14:textId="1EB9672D" w:rsidR="00696F27" w:rsidRDefault="00696F27" w:rsidP="00696F27">
      <w:pPr>
        <w:pStyle w:val="Heading1"/>
        <w:tabs>
          <w:tab w:val="left" w:pos="823"/>
        </w:tabs>
        <w:ind w:left="0" w:firstLine="0"/>
        <w:jc w:val="both"/>
        <w:rPr>
          <w:b w:val="0"/>
        </w:rPr>
      </w:pPr>
      <w:r>
        <w:rPr>
          <w:b w:val="0"/>
        </w:rPr>
        <w:t xml:space="preserve">It is expected from the </w:t>
      </w:r>
      <w:r w:rsidR="00DD6DE0" w:rsidRPr="00DD6DE0">
        <w:rPr>
          <w:b w:val="0"/>
        </w:rPr>
        <w:t xml:space="preserve">Company/Consultant </w:t>
      </w:r>
      <w:r>
        <w:rPr>
          <w:b w:val="0"/>
        </w:rPr>
        <w:t>to perform the following tasks and activities, not limited to the list provided bellow:</w:t>
      </w:r>
    </w:p>
    <w:p w14:paraId="6BAC3F0D" w14:textId="26701E3B" w:rsidR="00696F27" w:rsidRDefault="00696F27" w:rsidP="00696F27">
      <w:pPr>
        <w:pStyle w:val="Heading1"/>
        <w:tabs>
          <w:tab w:val="left" w:pos="823"/>
        </w:tabs>
        <w:ind w:left="0" w:firstLine="0"/>
        <w:jc w:val="both"/>
        <w:rPr>
          <w:b w:val="0"/>
        </w:rPr>
      </w:pPr>
    </w:p>
    <w:p w14:paraId="2FE6EE29" w14:textId="3EBF2001" w:rsidR="00836E19" w:rsidRPr="00836E19" w:rsidRDefault="00836E19" w:rsidP="0067366E">
      <w:pPr>
        <w:pStyle w:val="Heading1"/>
        <w:numPr>
          <w:ilvl w:val="0"/>
          <w:numId w:val="5"/>
        </w:numPr>
        <w:jc w:val="both"/>
        <w:rPr>
          <w:b w:val="0"/>
        </w:rPr>
      </w:pPr>
      <w:r w:rsidRPr="00836E19">
        <w:rPr>
          <w:b w:val="0"/>
        </w:rPr>
        <w:t>Perform an insight into the existing procedure for obtaining market offers, compare it with the procedure described in Manual DAP02-03 and point out deviations, if identified;</w:t>
      </w:r>
    </w:p>
    <w:p w14:paraId="494B6A78" w14:textId="453B8CCC" w:rsidR="00836E19" w:rsidRPr="00836E19" w:rsidRDefault="00836E19" w:rsidP="0067366E">
      <w:pPr>
        <w:pStyle w:val="Heading1"/>
        <w:numPr>
          <w:ilvl w:val="0"/>
          <w:numId w:val="5"/>
        </w:numPr>
        <w:jc w:val="both"/>
        <w:rPr>
          <w:b w:val="0"/>
        </w:rPr>
      </w:pPr>
      <w:r w:rsidRPr="00836E19">
        <w:rPr>
          <w:b w:val="0"/>
        </w:rPr>
        <w:t>Perform an insight into the existing market research procedure, compare it with the procedure described in Manual DAP02-03 and point out deviations, if identified;</w:t>
      </w:r>
    </w:p>
    <w:p w14:paraId="6D4053AF" w14:textId="307A9805" w:rsidR="00836E19" w:rsidRPr="00836E19" w:rsidRDefault="00836E19" w:rsidP="0067366E">
      <w:pPr>
        <w:pStyle w:val="Heading1"/>
        <w:numPr>
          <w:ilvl w:val="0"/>
          <w:numId w:val="5"/>
        </w:numPr>
        <w:jc w:val="both"/>
        <w:rPr>
          <w:b w:val="0"/>
        </w:rPr>
      </w:pPr>
      <w:r w:rsidRPr="00836E19">
        <w:rPr>
          <w:b w:val="0"/>
        </w:rPr>
        <w:t>Perform an insight into the existing procedure for obtaining data on reference prices by institutions, compare it with the procedure described in Manual DAP02-03 and point out deviations, if identified;</w:t>
      </w:r>
    </w:p>
    <w:p w14:paraId="57D75576" w14:textId="77777777" w:rsidR="00836E19" w:rsidRPr="00836E19" w:rsidRDefault="00836E19" w:rsidP="0067366E">
      <w:pPr>
        <w:pStyle w:val="Heading1"/>
        <w:numPr>
          <w:ilvl w:val="0"/>
          <w:numId w:val="5"/>
        </w:numPr>
        <w:jc w:val="both"/>
        <w:rPr>
          <w:b w:val="0"/>
        </w:rPr>
      </w:pPr>
      <w:r w:rsidRPr="00836E19">
        <w:rPr>
          <w:b w:val="0"/>
        </w:rPr>
        <w:t>Check the procedure for calculating the reference price, based on hypothetical test data, compare it with the procedure described in Manual DAP02-03 and point out deviations, if identified;</w:t>
      </w:r>
    </w:p>
    <w:p w14:paraId="7AF6777D" w14:textId="6F3D2094" w:rsidR="00836E19" w:rsidRPr="00836E19" w:rsidRDefault="00836E19" w:rsidP="0067366E">
      <w:pPr>
        <w:pStyle w:val="Heading1"/>
        <w:numPr>
          <w:ilvl w:val="0"/>
          <w:numId w:val="5"/>
        </w:numPr>
        <w:jc w:val="both"/>
        <w:rPr>
          <w:b w:val="0"/>
        </w:rPr>
      </w:pPr>
      <w:r w:rsidRPr="00836E19">
        <w:rPr>
          <w:b w:val="0"/>
        </w:rPr>
        <w:t>Perform an insight into the existing procedure of entering prices into the reference price database, and point out deficiencies in the procedure, if identified;</w:t>
      </w:r>
    </w:p>
    <w:p w14:paraId="5C52FEA1" w14:textId="77777777" w:rsidR="00836E19" w:rsidRPr="00836E19" w:rsidRDefault="00836E19" w:rsidP="0067366E">
      <w:pPr>
        <w:pStyle w:val="Heading1"/>
        <w:numPr>
          <w:ilvl w:val="0"/>
          <w:numId w:val="5"/>
        </w:numPr>
        <w:jc w:val="both"/>
        <w:rPr>
          <w:b w:val="0"/>
        </w:rPr>
      </w:pPr>
      <w:r w:rsidRPr="00836E19">
        <w:rPr>
          <w:b w:val="0"/>
        </w:rPr>
        <w:t>Perform a comparison of prices obtained from independent market sources against reference prices in the current frozen base and identify differences, if significant;</w:t>
      </w:r>
    </w:p>
    <w:p w14:paraId="76FF4904" w14:textId="77777777" w:rsidR="00836E19" w:rsidRPr="00836E19" w:rsidRDefault="00836E19" w:rsidP="0067366E">
      <w:pPr>
        <w:pStyle w:val="Heading1"/>
        <w:numPr>
          <w:ilvl w:val="0"/>
          <w:numId w:val="5"/>
        </w:numPr>
        <w:jc w:val="both"/>
        <w:rPr>
          <w:b w:val="0"/>
        </w:rPr>
      </w:pPr>
      <w:r w:rsidRPr="00836E19">
        <w:rPr>
          <w:b w:val="0"/>
        </w:rPr>
        <w:t>Determine price ranges for each item from the database by applying appropriate valuation methods and using data from independent market sources;</w:t>
      </w:r>
    </w:p>
    <w:p w14:paraId="3AA11930" w14:textId="3C82DF37" w:rsidR="00836E19" w:rsidRPr="00836E19" w:rsidRDefault="00836E19" w:rsidP="0067366E">
      <w:pPr>
        <w:pStyle w:val="Heading1"/>
        <w:numPr>
          <w:ilvl w:val="0"/>
          <w:numId w:val="5"/>
        </w:numPr>
        <w:jc w:val="both"/>
        <w:rPr>
          <w:b w:val="0"/>
        </w:rPr>
      </w:pPr>
      <w:r w:rsidRPr="00836E19">
        <w:rPr>
          <w:b w:val="0"/>
        </w:rPr>
        <w:t>Perform an insight into the existing</w:t>
      </w:r>
      <w:r w:rsidRPr="00836E19" w:rsidDel="005A2C8C">
        <w:rPr>
          <w:b w:val="0"/>
        </w:rPr>
        <w:t xml:space="preserve"> </w:t>
      </w:r>
      <w:r w:rsidRPr="00836E19">
        <w:rPr>
          <w:b w:val="0"/>
        </w:rPr>
        <w:t>procedure of amending/adding in the base of reference prices and point out shortcomings in the procedure, if identified;</w:t>
      </w:r>
    </w:p>
    <w:p w14:paraId="51500E4B" w14:textId="12A43E7E" w:rsidR="00836E19" w:rsidRPr="00836E19" w:rsidRDefault="00836E19" w:rsidP="0067366E">
      <w:pPr>
        <w:pStyle w:val="Heading1"/>
        <w:numPr>
          <w:ilvl w:val="0"/>
          <w:numId w:val="5"/>
        </w:numPr>
        <w:jc w:val="both"/>
        <w:rPr>
          <w:b w:val="0"/>
        </w:rPr>
      </w:pPr>
      <w:r w:rsidRPr="00836E19">
        <w:rPr>
          <w:b w:val="0"/>
        </w:rPr>
        <w:t xml:space="preserve">Perform an insight into the process of </w:t>
      </w:r>
      <w:proofErr w:type="gramStart"/>
      <w:r w:rsidRPr="00836E19">
        <w:rPr>
          <w:b w:val="0"/>
        </w:rPr>
        <w:t>making reference</w:t>
      </w:r>
      <w:proofErr w:type="gramEnd"/>
      <w:r w:rsidRPr="00836E19">
        <w:rPr>
          <w:b w:val="0"/>
        </w:rPr>
        <w:t xml:space="preserve"> prices by the institutions and point out shortcomings in the process, if identified;</w:t>
      </w:r>
    </w:p>
    <w:p w14:paraId="07413482" w14:textId="77777777" w:rsidR="00836E19" w:rsidRPr="00836E19" w:rsidRDefault="00836E19" w:rsidP="0067366E">
      <w:pPr>
        <w:pStyle w:val="Heading1"/>
        <w:numPr>
          <w:ilvl w:val="0"/>
          <w:numId w:val="5"/>
        </w:numPr>
        <w:jc w:val="both"/>
        <w:rPr>
          <w:b w:val="0"/>
        </w:rPr>
      </w:pPr>
      <w:r w:rsidRPr="00836E19">
        <w:rPr>
          <w:b w:val="0"/>
        </w:rPr>
        <w:t>Matching reference prices with the list of eligible investments in line with the GOM and ESMF;</w:t>
      </w:r>
    </w:p>
    <w:p w14:paraId="5CEF2452" w14:textId="77777777" w:rsidR="00836E19" w:rsidRPr="00836E19" w:rsidRDefault="00836E19" w:rsidP="0067366E">
      <w:pPr>
        <w:pStyle w:val="Heading1"/>
        <w:numPr>
          <w:ilvl w:val="0"/>
          <w:numId w:val="5"/>
        </w:numPr>
        <w:jc w:val="both"/>
        <w:rPr>
          <w:b w:val="0"/>
        </w:rPr>
      </w:pPr>
      <w:r w:rsidRPr="00836E19">
        <w:rPr>
          <w:b w:val="0"/>
        </w:rPr>
        <w:t xml:space="preserve">Preparing relevant guidelines for SCAP potential beneficiaries, for SCAP contracted beneficiaries, SCAP processors, and SCAP grant procurement unit, in order to support </w:t>
      </w:r>
      <w:proofErr w:type="gramStart"/>
      <w:r w:rsidRPr="00836E19">
        <w:rPr>
          <w:b w:val="0"/>
        </w:rPr>
        <w:t>market based</w:t>
      </w:r>
      <w:proofErr w:type="gramEnd"/>
      <w:r w:rsidRPr="00836E19">
        <w:rPr>
          <w:b w:val="0"/>
        </w:rPr>
        <w:t xml:space="preserve"> planning of investments in line with reference prices.</w:t>
      </w:r>
    </w:p>
    <w:p w14:paraId="7AF34A7E" w14:textId="627DAF85" w:rsidR="00757675" w:rsidRDefault="00757675" w:rsidP="00836E19">
      <w:pPr>
        <w:pStyle w:val="Heading1"/>
        <w:tabs>
          <w:tab w:val="left" w:pos="823"/>
        </w:tabs>
        <w:ind w:left="0" w:firstLine="0"/>
        <w:jc w:val="both"/>
        <w:rPr>
          <w:b w:val="0"/>
        </w:rPr>
      </w:pPr>
    </w:p>
    <w:p w14:paraId="0AC362F4" w14:textId="26DA7F9A" w:rsidR="00757675" w:rsidRDefault="00757675" w:rsidP="00757675">
      <w:pPr>
        <w:pStyle w:val="Heading1"/>
        <w:tabs>
          <w:tab w:val="left" w:pos="823"/>
        </w:tabs>
        <w:jc w:val="both"/>
        <w:rPr>
          <w:b w:val="0"/>
        </w:rPr>
      </w:pPr>
    </w:p>
    <w:p w14:paraId="275E0D0A" w14:textId="5E270728" w:rsidR="00836E19" w:rsidRDefault="00836E19" w:rsidP="00757675">
      <w:pPr>
        <w:pStyle w:val="Heading1"/>
        <w:tabs>
          <w:tab w:val="left" w:pos="823"/>
        </w:tabs>
        <w:jc w:val="both"/>
        <w:rPr>
          <w:b w:val="0"/>
        </w:rPr>
      </w:pPr>
    </w:p>
    <w:p w14:paraId="1A4A7129" w14:textId="34E3ED63" w:rsidR="00836E19" w:rsidRDefault="00836E19" w:rsidP="00757675">
      <w:pPr>
        <w:pStyle w:val="Heading1"/>
        <w:tabs>
          <w:tab w:val="left" w:pos="823"/>
        </w:tabs>
        <w:jc w:val="both"/>
        <w:rPr>
          <w:b w:val="0"/>
        </w:rPr>
      </w:pPr>
    </w:p>
    <w:p w14:paraId="2716D159" w14:textId="77777777" w:rsidR="00836E19" w:rsidRDefault="00836E19" w:rsidP="00757675">
      <w:pPr>
        <w:pStyle w:val="Heading1"/>
        <w:tabs>
          <w:tab w:val="left" w:pos="823"/>
        </w:tabs>
        <w:jc w:val="both"/>
        <w:rPr>
          <w:b w:val="0"/>
        </w:rPr>
      </w:pPr>
    </w:p>
    <w:p w14:paraId="1AF6ABE9" w14:textId="3B62B6A8" w:rsidR="00757675" w:rsidRDefault="00757675" w:rsidP="00757675">
      <w:pPr>
        <w:pStyle w:val="Heading1"/>
        <w:tabs>
          <w:tab w:val="left" w:pos="823"/>
        </w:tabs>
        <w:jc w:val="both"/>
        <w:rPr>
          <w:b w:val="0"/>
        </w:rPr>
      </w:pPr>
    </w:p>
    <w:p w14:paraId="550612AA" w14:textId="6506DB92" w:rsidR="0067366E" w:rsidRDefault="0067366E" w:rsidP="00757675">
      <w:pPr>
        <w:pStyle w:val="Heading1"/>
        <w:tabs>
          <w:tab w:val="left" w:pos="823"/>
        </w:tabs>
        <w:jc w:val="both"/>
        <w:rPr>
          <w:b w:val="0"/>
        </w:rPr>
      </w:pPr>
    </w:p>
    <w:p w14:paraId="53226BBF" w14:textId="77777777" w:rsidR="0067366E" w:rsidRDefault="0067366E" w:rsidP="00757675">
      <w:pPr>
        <w:pStyle w:val="Heading1"/>
        <w:tabs>
          <w:tab w:val="left" w:pos="823"/>
        </w:tabs>
        <w:jc w:val="both"/>
        <w:rPr>
          <w:b w:val="0"/>
        </w:rPr>
      </w:pPr>
    </w:p>
    <w:p w14:paraId="4D6B945D" w14:textId="77777777" w:rsidR="00757675" w:rsidRPr="00B47FA8" w:rsidRDefault="00757675" w:rsidP="00757675">
      <w:pPr>
        <w:pStyle w:val="ListParagraph"/>
        <w:numPr>
          <w:ilvl w:val="0"/>
          <w:numId w:val="1"/>
        </w:numPr>
        <w:rPr>
          <w:b/>
          <w:bCs/>
          <w:sz w:val="24"/>
          <w:szCs w:val="24"/>
        </w:rPr>
      </w:pPr>
      <w:r w:rsidRPr="00B47FA8">
        <w:rPr>
          <w:b/>
          <w:bCs/>
          <w:sz w:val="24"/>
          <w:szCs w:val="24"/>
        </w:rPr>
        <w:lastRenderedPageBreak/>
        <w:t>Deliverables</w:t>
      </w:r>
    </w:p>
    <w:p w14:paraId="26ACC76E" w14:textId="0D577CFC" w:rsidR="00757675" w:rsidRDefault="00757675" w:rsidP="00757675">
      <w:pPr>
        <w:pStyle w:val="Heading1"/>
        <w:tabs>
          <w:tab w:val="left" w:pos="823"/>
        </w:tabs>
        <w:jc w:val="both"/>
        <w:rPr>
          <w:b w:val="0"/>
        </w:rPr>
      </w:pPr>
    </w:p>
    <w:p w14:paraId="706285F1" w14:textId="0E014441" w:rsidR="00757675" w:rsidRDefault="00757675" w:rsidP="00757675">
      <w:pPr>
        <w:pStyle w:val="Heading1"/>
        <w:tabs>
          <w:tab w:val="left" w:pos="0"/>
        </w:tabs>
        <w:ind w:left="0" w:firstLine="0"/>
        <w:jc w:val="both"/>
        <w:rPr>
          <w:b w:val="0"/>
        </w:rPr>
      </w:pPr>
      <w:r w:rsidRPr="00757675">
        <w:rPr>
          <w:b w:val="0"/>
        </w:rPr>
        <w:t>The selected Company/Consultant shall prepare and deliver the following documents in</w:t>
      </w:r>
      <w:r>
        <w:rPr>
          <w:b w:val="0"/>
        </w:rPr>
        <w:t xml:space="preserve"> </w:t>
      </w:r>
      <w:r w:rsidRPr="00757675">
        <w:rPr>
          <w:b w:val="0"/>
        </w:rPr>
        <w:t>the corresponding stages of the assignment</w:t>
      </w:r>
      <w:r>
        <w:rPr>
          <w:b w:val="0"/>
        </w:rPr>
        <w:t>:</w:t>
      </w:r>
    </w:p>
    <w:p w14:paraId="61A435DF" w14:textId="73B3980E" w:rsidR="00911558" w:rsidRDefault="00911558" w:rsidP="00757675">
      <w:pPr>
        <w:pStyle w:val="Heading1"/>
        <w:tabs>
          <w:tab w:val="left" w:pos="0"/>
        </w:tabs>
        <w:ind w:left="0" w:firstLine="0"/>
        <w:jc w:val="both"/>
        <w:rPr>
          <w:b w:val="0"/>
        </w:rPr>
      </w:pPr>
    </w:p>
    <w:tbl>
      <w:tblPr>
        <w:tblStyle w:val="TableGrid"/>
        <w:tblW w:w="0" w:type="auto"/>
        <w:tblLook w:val="04A0" w:firstRow="1" w:lastRow="0" w:firstColumn="1" w:lastColumn="0" w:noHBand="0" w:noVBand="1"/>
      </w:tblPr>
      <w:tblGrid>
        <w:gridCol w:w="704"/>
        <w:gridCol w:w="2693"/>
        <w:gridCol w:w="3360"/>
        <w:gridCol w:w="2253"/>
      </w:tblGrid>
      <w:tr w:rsidR="00911558" w14:paraId="56DD818A" w14:textId="77777777" w:rsidTr="00B453AF">
        <w:tc>
          <w:tcPr>
            <w:tcW w:w="704" w:type="dxa"/>
          </w:tcPr>
          <w:p w14:paraId="72B1776F" w14:textId="5C02B2C3" w:rsidR="00911558" w:rsidRDefault="00B453AF" w:rsidP="00757675">
            <w:pPr>
              <w:pStyle w:val="Heading1"/>
              <w:tabs>
                <w:tab w:val="left" w:pos="0"/>
              </w:tabs>
              <w:ind w:left="0" w:firstLine="0"/>
              <w:jc w:val="both"/>
              <w:outlineLvl w:val="0"/>
              <w:rPr>
                <w:b w:val="0"/>
              </w:rPr>
            </w:pPr>
            <w:r>
              <w:rPr>
                <w:b w:val="0"/>
              </w:rPr>
              <w:t>No</w:t>
            </w:r>
          </w:p>
        </w:tc>
        <w:tc>
          <w:tcPr>
            <w:tcW w:w="2693" w:type="dxa"/>
          </w:tcPr>
          <w:p w14:paraId="1D3FD583" w14:textId="6E4A1A3B" w:rsidR="00911558" w:rsidRDefault="00B453AF" w:rsidP="00757675">
            <w:pPr>
              <w:pStyle w:val="Heading1"/>
              <w:tabs>
                <w:tab w:val="left" w:pos="0"/>
              </w:tabs>
              <w:ind w:left="0" w:firstLine="0"/>
              <w:jc w:val="both"/>
              <w:outlineLvl w:val="0"/>
              <w:rPr>
                <w:b w:val="0"/>
              </w:rPr>
            </w:pPr>
            <w:r>
              <w:rPr>
                <w:b w:val="0"/>
              </w:rPr>
              <w:t>Name of the report</w:t>
            </w:r>
          </w:p>
        </w:tc>
        <w:tc>
          <w:tcPr>
            <w:tcW w:w="3360" w:type="dxa"/>
          </w:tcPr>
          <w:p w14:paraId="34EEC38E" w14:textId="4CE417A5" w:rsidR="00911558" w:rsidRDefault="00B453AF" w:rsidP="00757675">
            <w:pPr>
              <w:pStyle w:val="Heading1"/>
              <w:tabs>
                <w:tab w:val="left" w:pos="0"/>
              </w:tabs>
              <w:ind w:left="0" w:firstLine="0"/>
              <w:jc w:val="both"/>
              <w:outlineLvl w:val="0"/>
              <w:rPr>
                <w:b w:val="0"/>
              </w:rPr>
            </w:pPr>
            <w:r>
              <w:rPr>
                <w:b w:val="0"/>
              </w:rPr>
              <w:t>Short description</w:t>
            </w:r>
          </w:p>
        </w:tc>
        <w:tc>
          <w:tcPr>
            <w:tcW w:w="2253" w:type="dxa"/>
          </w:tcPr>
          <w:p w14:paraId="46D0E492" w14:textId="52F27109" w:rsidR="00911558" w:rsidRDefault="00B453AF" w:rsidP="00757675">
            <w:pPr>
              <w:pStyle w:val="Heading1"/>
              <w:tabs>
                <w:tab w:val="left" w:pos="0"/>
              </w:tabs>
              <w:ind w:left="0" w:firstLine="0"/>
              <w:jc w:val="both"/>
              <w:outlineLvl w:val="0"/>
              <w:rPr>
                <w:b w:val="0"/>
              </w:rPr>
            </w:pPr>
            <w:r>
              <w:rPr>
                <w:b w:val="0"/>
              </w:rPr>
              <w:t>Timeline</w:t>
            </w:r>
          </w:p>
        </w:tc>
      </w:tr>
      <w:tr w:rsidR="00911558" w14:paraId="643FB1B3" w14:textId="77777777" w:rsidTr="00B453AF">
        <w:tc>
          <w:tcPr>
            <w:tcW w:w="704" w:type="dxa"/>
          </w:tcPr>
          <w:p w14:paraId="0ABF766F" w14:textId="2E6765EB" w:rsidR="00911558" w:rsidRDefault="00B453AF" w:rsidP="00757675">
            <w:pPr>
              <w:pStyle w:val="Heading1"/>
              <w:tabs>
                <w:tab w:val="left" w:pos="0"/>
              </w:tabs>
              <w:ind w:left="0" w:firstLine="0"/>
              <w:jc w:val="both"/>
              <w:outlineLvl w:val="0"/>
              <w:rPr>
                <w:b w:val="0"/>
              </w:rPr>
            </w:pPr>
            <w:r>
              <w:rPr>
                <w:b w:val="0"/>
              </w:rPr>
              <w:t>1</w:t>
            </w:r>
          </w:p>
        </w:tc>
        <w:tc>
          <w:tcPr>
            <w:tcW w:w="2693" w:type="dxa"/>
          </w:tcPr>
          <w:p w14:paraId="6E2F37FE" w14:textId="10D14401" w:rsidR="00911558" w:rsidRDefault="00B453AF" w:rsidP="00757675">
            <w:pPr>
              <w:pStyle w:val="Heading1"/>
              <w:tabs>
                <w:tab w:val="left" w:pos="0"/>
              </w:tabs>
              <w:ind w:left="0" w:firstLine="0"/>
              <w:jc w:val="both"/>
              <w:outlineLvl w:val="0"/>
              <w:rPr>
                <w:b w:val="0"/>
              </w:rPr>
            </w:pPr>
            <w:r>
              <w:rPr>
                <w:b w:val="0"/>
              </w:rPr>
              <w:t>Inception report</w:t>
            </w:r>
          </w:p>
        </w:tc>
        <w:tc>
          <w:tcPr>
            <w:tcW w:w="3360" w:type="dxa"/>
          </w:tcPr>
          <w:p w14:paraId="248409E7" w14:textId="35D357DE" w:rsidR="00911558" w:rsidRDefault="00B453AF" w:rsidP="00757675">
            <w:pPr>
              <w:pStyle w:val="Heading1"/>
              <w:tabs>
                <w:tab w:val="left" w:pos="0"/>
              </w:tabs>
              <w:ind w:left="0" w:firstLine="0"/>
              <w:jc w:val="both"/>
              <w:outlineLvl w:val="0"/>
              <w:rPr>
                <w:b w:val="0"/>
              </w:rPr>
            </w:pPr>
            <w:r w:rsidRPr="00B453AF">
              <w:rPr>
                <w:b w:val="0"/>
              </w:rPr>
              <w:t>The Inception Report will serve as an initial assessment of the current procedures for obtaining market offers, market research, data on reference prices, and the calculation of reference prices. It will outline any identified deviations from the established Manual DAP02-03 procedures. This report will set the stage for the project, providing a comprehensive understanding of the existing processes and areas that require attention.</w:t>
            </w:r>
          </w:p>
        </w:tc>
        <w:tc>
          <w:tcPr>
            <w:tcW w:w="2253" w:type="dxa"/>
          </w:tcPr>
          <w:p w14:paraId="787CBBDB" w14:textId="4FAE5AA1" w:rsidR="00911558" w:rsidRDefault="00B453AF" w:rsidP="00757675">
            <w:pPr>
              <w:pStyle w:val="Heading1"/>
              <w:tabs>
                <w:tab w:val="left" w:pos="0"/>
              </w:tabs>
              <w:ind w:left="0" w:firstLine="0"/>
              <w:jc w:val="both"/>
              <w:outlineLvl w:val="0"/>
              <w:rPr>
                <w:b w:val="0"/>
              </w:rPr>
            </w:pPr>
            <w:r>
              <w:rPr>
                <w:b w:val="0"/>
              </w:rPr>
              <w:t>Up to 15 days after the contract signing</w:t>
            </w:r>
          </w:p>
        </w:tc>
      </w:tr>
      <w:tr w:rsidR="00B453AF" w14:paraId="16FE97DC" w14:textId="77777777" w:rsidTr="00B453AF">
        <w:tc>
          <w:tcPr>
            <w:tcW w:w="704" w:type="dxa"/>
          </w:tcPr>
          <w:p w14:paraId="7A9104A7" w14:textId="392D38B4" w:rsidR="00B453AF" w:rsidRDefault="00B453AF" w:rsidP="00B453AF">
            <w:pPr>
              <w:pStyle w:val="Heading1"/>
              <w:tabs>
                <w:tab w:val="left" w:pos="0"/>
              </w:tabs>
              <w:ind w:left="0" w:firstLine="0"/>
              <w:jc w:val="both"/>
              <w:outlineLvl w:val="0"/>
              <w:rPr>
                <w:b w:val="0"/>
              </w:rPr>
            </w:pPr>
            <w:r>
              <w:rPr>
                <w:b w:val="0"/>
              </w:rPr>
              <w:t>2</w:t>
            </w:r>
          </w:p>
        </w:tc>
        <w:tc>
          <w:tcPr>
            <w:tcW w:w="2693" w:type="dxa"/>
          </w:tcPr>
          <w:p w14:paraId="286C78B3" w14:textId="6BC1187B" w:rsidR="00B453AF" w:rsidRDefault="00B453AF" w:rsidP="00B453AF">
            <w:pPr>
              <w:pStyle w:val="Heading1"/>
              <w:tabs>
                <w:tab w:val="left" w:pos="0"/>
              </w:tabs>
              <w:ind w:left="0" w:firstLine="0"/>
              <w:jc w:val="both"/>
              <w:outlineLvl w:val="0"/>
              <w:rPr>
                <w:b w:val="0"/>
              </w:rPr>
            </w:pPr>
            <w:r>
              <w:rPr>
                <w:b w:val="0"/>
              </w:rPr>
              <w:t>Report on audited reference prices</w:t>
            </w:r>
          </w:p>
        </w:tc>
        <w:tc>
          <w:tcPr>
            <w:tcW w:w="3360" w:type="dxa"/>
          </w:tcPr>
          <w:p w14:paraId="645F3295" w14:textId="77D4CAC9" w:rsidR="00B453AF" w:rsidRDefault="00B453AF" w:rsidP="00B453AF">
            <w:pPr>
              <w:pStyle w:val="Heading1"/>
              <w:tabs>
                <w:tab w:val="left" w:pos="0"/>
              </w:tabs>
              <w:ind w:left="0" w:firstLine="0"/>
              <w:jc w:val="both"/>
              <w:outlineLvl w:val="0"/>
              <w:rPr>
                <w:b w:val="0"/>
              </w:rPr>
            </w:pPr>
            <w:r w:rsidRPr="00B453AF">
              <w:rPr>
                <w:b w:val="0"/>
              </w:rPr>
              <w:t>This report will detail the findings from auditing the procedures for obtaining and calculating reference prices. It will identify any deviations from the prescribed Manual DAP02-03 processes. The report will serve as a critical document for ensuring accuracy and reliability in the reference price database, contributing to more informed decision-making within the organization.</w:t>
            </w:r>
          </w:p>
        </w:tc>
        <w:tc>
          <w:tcPr>
            <w:tcW w:w="2253" w:type="dxa"/>
          </w:tcPr>
          <w:p w14:paraId="332469E0" w14:textId="3C62F4BE" w:rsidR="00B453AF" w:rsidRDefault="00B453AF" w:rsidP="00B453AF">
            <w:pPr>
              <w:pStyle w:val="Heading1"/>
              <w:tabs>
                <w:tab w:val="left" w:pos="0"/>
              </w:tabs>
              <w:ind w:left="0" w:firstLine="0"/>
              <w:jc w:val="both"/>
              <w:outlineLvl w:val="0"/>
              <w:rPr>
                <w:b w:val="0"/>
              </w:rPr>
            </w:pPr>
            <w:r>
              <w:rPr>
                <w:b w:val="0"/>
              </w:rPr>
              <w:t>Up to 30 days after the contract signing</w:t>
            </w:r>
          </w:p>
        </w:tc>
      </w:tr>
      <w:tr w:rsidR="00B453AF" w14:paraId="6E164431" w14:textId="77777777" w:rsidTr="00B453AF">
        <w:tc>
          <w:tcPr>
            <w:tcW w:w="704" w:type="dxa"/>
          </w:tcPr>
          <w:p w14:paraId="40149276" w14:textId="16E5126E" w:rsidR="00B453AF" w:rsidRDefault="00B453AF" w:rsidP="00B453AF">
            <w:pPr>
              <w:pStyle w:val="Heading1"/>
              <w:tabs>
                <w:tab w:val="left" w:pos="0"/>
              </w:tabs>
              <w:ind w:left="0" w:firstLine="0"/>
              <w:jc w:val="both"/>
              <w:outlineLvl w:val="0"/>
              <w:rPr>
                <w:b w:val="0"/>
              </w:rPr>
            </w:pPr>
            <w:r>
              <w:rPr>
                <w:b w:val="0"/>
              </w:rPr>
              <w:t>3</w:t>
            </w:r>
          </w:p>
        </w:tc>
        <w:tc>
          <w:tcPr>
            <w:tcW w:w="2693" w:type="dxa"/>
          </w:tcPr>
          <w:p w14:paraId="704393E7" w14:textId="7DE9E0C9" w:rsidR="00B453AF" w:rsidRDefault="00B453AF" w:rsidP="00B453AF">
            <w:pPr>
              <w:pStyle w:val="Heading1"/>
              <w:tabs>
                <w:tab w:val="left" w:pos="0"/>
              </w:tabs>
              <w:ind w:left="0" w:firstLine="0"/>
              <w:jc w:val="both"/>
              <w:outlineLvl w:val="0"/>
              <w:rPr>
                <w:b w:val="0"/>
              </w:rPr>
            </w:pPr>
            <w:r>
              <w:rPr>
                <w:b w:val="0"/>
              </w:rPr>
              <w:t>Draft report on Guidelines for SCAP</w:t>
            </w:r>
          </w:p>
        </w:tc>
        <w:tc>
          <w:tcPr>
            <w:tcW w:w="3360" w:type="dxa"/>
          </w:tcPr>
          <w:p w14:paraId="1819C33E" w14:textId="77777777" w:rsidR="00B453AF" w:rsidRPr="00B453AF" w:rsidRDefault="00B453AF" w:rsidP="00B453AF">
            <w:pPr>
              <w:jc w:val="both"/>
              <w:rPr>
                <w:bCs/>
                <w:sz w:val="24"/>
                <w:szCs w:val="24"/>
              </w:rPr>
            </w:pPr>
            <w:r w:rsidRPr="00B453AF">
              <w:rPr>
                <w:bCs/>
                <w:sz w:val="24"/>
                <w:szCs w:val="24"/>
              </w:rPr>
              <w:t xml:space="preserve">The Draft Report on Guidelines for SCAP will document the process of evaluating and improving existing procedures, such as amending/adding to the reference price base and </w:t>
            </w:r>
            <w:proofErr w:type="gramStart"/>
            <w:r w:rsidRPr="00B453AF">
              <w:rPr>
                <w:bCs/>
                <w:sz w:val="24"/>
                <w:szCs w:val="24"/>
              </w:rPr>
              <w:t>making reference</w:t>
            </w:r>
            <w:proofErr w:type="gramEnd"/>
            <w:r w:rsidRPr="00B453AF">
              <w:rPr>
                <w:bCs/>
                <w:sz w:val="24"/>
                <w:szCs w:val="24"/>
              </w:rPr>
              <w:t xml:space="preserve"> prices. It will also include an analysis of the alignment of reference prices with eligible investments. This draft report will provide a foundation for the development of guidelines that will support market-based planning for SCAP beneficiaries and stakeholders.</w:t>
            </w:r>
          </w:p>
          <w:p w14:paraId="6B8DF95B" w14:textId="77777777" w:rsidR="00B453AF" w:rsidRDefault="00B453AF" w:rsidP="00B453AF">
            <w:pPr>
              <w:pStyle w:val="Heading1"/>
              <w:tabs>
                <w:tab w:val="left" w:pos="0"/>
              </w:tabs>
              <w:ind w:left="0" w:firstLine="0"/>
              <w:jc w:val="both"/>
              <w:outlineLvl w:val="0"/>
              <w:rPr>
                <w:b w:val="0"/>
              </w:rPr>
            </w:pPr>
          </w:p>
        </w:tc>
        <w:tc>
          <w:tcPr>
            <w:tcW w:w="2253" w:type="dxa"/>
          </w:tcPr>
          <w:p w14:paraId="40A3FC63" w14:textId="16CAC79A" w:rsidR="00B453AF" w:rsidRDefault="00B453AF" w:rsidP="00B453AF">
            <w:pPr>
              <w:pStyle w:val="Heading1"/>
              <w:tabs>
                <w:tab w:val="left" w:pos="0"/>
              </w:tabs>
              <w:ind w:left="0" w:firstLine="0"/>
              <w:jc w:val="both"/>
              <w:outlineLvl w:val="0"/>
              <w:rPr>
                <w:b w:val="0"/>
              </w:rPr>
            </w:pPr>
            <w:r>
              <w:rPr>
                <w:b w:val="0"/>
              </w:rPr>
              <w:t>Up to 45 days after the contract signing</w:t>
            </w:r>
          </w:p>
        </w:tc>
      </w:tr>
      <w:tr w:rsidR="00B453AF" w14:paraId="433680A5" w14:textId="77777777" w:rsidTr="00B453AF">
        <w:tc>
          <w:tcPr>
            <w:tcW w:w="704" w:type="dxa"/>
          </w:tcPr>
          <w:p w14:paraId="67431105" w14:textId="6D00D2E9" w:rsidR="00B453AF" w:rsidRDefault="00B453AF" w:rsidP="00B453AF">
            <w:pPr>
              <w:pStyle w:val="Heading1"/>
              <w:tabs>
                <w:tab w:val="left" w:pos="0"/>
              </w:tabs>
              <w:ind w:left="0" w:firstLine="0"/>
              <w:jc w:val="both"/>
              <w:outlineLvl w:val="0"/>
              <w:rPr>
                <w:b w:val="0"/>
              </w:rPr>
            </w:pPr>
            <w:r>
              <w:rPr>
                <w:b w:val="0"/>
              </w:rPr>
              <w:lastRenderedPageBreak/>
              <w:t>4</w:t>
            </w:r>
          </w:p>
        </w:tc>
        <w:tc>
          <w:tcPr>
            <w:tcW w:w="2693" w:type="dxa"/>
          </w:tcPr>
          <w:p w14:paraId="12F0EB86" w14:textId="78F0774F" w:rsidR="00B453AF" w:rsidRDefault="00B453AF" w:rsidP="00B453AF">
            <w:pPr>
              <w:pStyle w:val="Heading1"/>
              <w:tabs>
                <w:tab w:val="left" w:pos="0"/>
              </w:tabs>
              <w:ind w:left="0" w:firstLine="0"/>
              <w:jc w:val="both"/>
              <w:outlineLvl w:val="0"/>
              <w:rPr>
                <w:b w:val="0"/>
              </w:rPr>
            </w:pPr>
            <w:r>
              <w:rPr>
                <w:b w:val="0"/>
              </w:rPr>
              <w:t>Final report on Guidelines for SCAP</w:t>
            </w:r>
          </w:p>
        </w:tc>
        <w:tc>
          <w:tcPr>
            <w:tcW w:w="3360" w:type="dxa"/>
          </w:tcPr>
          <w:p w14:paraId="3F882D13" w14:textId="1411107F" w:rsidR="00B453AF" w:rsidRDefault="00B453AF" w:rsidP="00B453AF">
            <w:pPr>
              <w:pStyle w:val="Heading1"/>
              <w:tabs>
                <w:tab w:val="left" w:pos="0"/>
              </w:tabs>
              <w:ind w:left="0" w:firstLine="0"/>
              <w:jc w:val="both"/>
              <w:outlineLvl w:val="0"/>
              <w:rPr>
                <w:b w:val="0"/>
              </w:rPr>
            </w:pPr>
            <w:r w:rsidRPr="00B453AF">
              <w:rPr>
                <w:b w:val="0"/>
              </w:rPr>
              <w:t>Building upon the Draft Report, the Final Report on Guidelines for SCAP will present refined and well-documented guidelines for SCAP potential beneficiaries, contracted beneficiaries, processors, and the procurement unit. It will incorporate feedback and adjustments from stakeholders and experts. These guidelines will empower stakeholders to plan investments in accordance with reference prices, promoting transparency and efficiency in the decision-making process.</w:t>
            </w:r>
          </w:p>
        </w:tc>
        <w:tc>
          <w:tcPr>
            <w:tcW w:w="2253" w:type="dxa"/>
          </w:tcPr>
          <w:p w14:paraId="663610FC" w14:textId="54496520" w:rsidR="00B453AF" w:rsidRDefault="00B453AF" w:rsidP="00B453AF">
            <w:pPr>
              <w:pStyle w:val="Heading1"/>
              <w:tabs>
                <w:tab w:val="left" w:pos="0"/>
              </w:tabs>
              <w:ind w:left="0" w:firstLine="0"/>
              <w:jc w:val="both"/>
              <w:outlineLvl w:val="0"/>
              <w:rPr>
                <w:b w:val="0"/>
              </w:rPr>
            </w:pPr>
            <w:r>
              <w:rPr>
                <w:b w:val="0"/>
              </w:rPr>
              <w:t>Up to 60 days after the contract signing</w:t>
            </w:r>
          </w:p>
        </w:tc>
      </w:tr>
    </w:tbl>
    <w:p w14:paraId="4BDD4E71" w14:textId="77777777" w:rsidR="00911558" w:rsidRDefault="00911558" w:rsidP="00757675">
      <w:pPr>
        <w:pStyle w:val="Heading1"/>
        <w:tabs>
          <w:tab w:val="left" w:pos="0"/>
        </w:tabs>
        <w:ind w:left="0" w:firstLine="0"/>
        <w:jc w:val="both"/>
        <w:rPr>
          <w:b w:val="0"/>
        </w:rPr>
      </w:pPr>
    </w:p>
    <w:p w14:paraId="12BE5E92" w14:textId="7FC231E3" w:rsidR="00DD6DE0" w:rsidRDefault="00DD6DE0" w:rsidP="00757675">
      <w:pPr>
        <w:pStyle w:val="Heading1"/>
        <w:tabs>
          <w:tab w:val="left" w:pos="0"/>
        </w:tabs>
        <w:ind w:left="0" w:firstLine="0"/>
        <w:jc w:val="both"/>
        <w:rPr>
          <w:b w:val="0"/>
        </w:rPr>
      </w:pPr>
    </w:p>
    <w:p w14:paraId="5800C2C1" w14:textId="41FE34F3" w:rsidR="00DD6DE0" w:rsidRDefault="00DD6DE0" w:rsidP="00757675">
      <w:pPr>
        <w:pStyle w:val="Heading1"/>
        <w:tabs>
          <w:tab w:val="left" w:pos="0"/>
        </w:tabs>
        <w:ind w:left="0" w:firstLine="0"/>
        <w:jc w:val="both"/>
        <w:rPr>
          <w:b w:val="0"/>
        </w:rPr>
      </w:pPr>
      <w:r w:rsidRPr="00DD6DE0">
        <w:rPr>
          <w:b w:val="0"/>
        </w:rPr>
        <w:t xml:space="preserve">The selected Company/Consultant shall be paid the lump sum contract amount linked to the </w:t>
      </w:r>
      <w:r>
        <w:rPr>
          <w:b w:val="0"/>
        </w:rPr>
        <w:t xml:space="preserve">defined </w:t>
      </w:r>
      <w:r w:rsidRPr="00DD6DE0">
        <w:rPr>
          <w:b w:val="0"/>
        </w:rPr>
        <w:t>deliverables</w:t>
      </w:r>
      <w:r>
        <w:rPr>
          <w:b w:val="0"/>
        </w:rPr>
        <w:t>.</w:t>
      </w:r>
    </w:p>
    <w:p w14:paraId="5DCC10F3" w14:textId="77777777" w:rsidR="00696F27" w:rsidRPr="00696F27" w:rsidRDefault="00696F27" w:rsidP="00696F27">
      <w:pPr>
        <w:pStyle w:val="Heading1"/>
        <w:tabs>
          <w:tab w:val="left" w:pos="823"/>
        </w:tabs>
        <w:ind w:left="0" w:firstLine="0"/>
        <w:jc w:val="both"/>
        <w:rPr>
          <w:b w:val="0"/>
        </w:rPr>
      </w:pPr>
    </w:p>
    <w:p w14:paraId="245E2C3A" w14:textId="77777777" w:rsidR="00757675" w:rsidRPr="00757675" w:rsidRDefault="00757675" w:rsidP="00757675">
      <w:pPr>
        <w:pStyle w:val="ListParagraph"/>
        <w:numPr>
          <w:ilvl w:val="0"/>
          <w:numId w:val="1"/>
        </w:numPr>
        <w:rPr>
          <w:b/>
          <w:bCs/>
          <w:sz w:val="24"/>
          <w:szCs w:val="24"/>
        </w:rPr>
      </w:pPr>
      <w:r w:rsidRPr="00757675">
        <w:rPr>
          <w:b/>
          <w:bCs/>
          <w:sz w:val="24"/>
          <w:szCs w:val="24"/>
        </w:rPr>
        <w:t>Reporting and payment terms</w:t>
      </w:r>
    </w:p>
    <w:p w14:paraId="4BD3699D" w14:textId="77777777" w:rsidR="00757675" w:rsidRPr="00B47FA8" w:rsidRDefault="00757675" w:rsidP="00757675">
      <w:pPr>
        <w:jc w:val="both"/>
        <w:rPr>
          <w:sz w:val="24"/>
          <w:szCs w:val="24"/>
        </w:rPr>
      </w:pPr>
    </w:p>
    <w:p w14:paraId="08877CE3" w14:textId="6D084FDD" w:rsidR="00757675" w:rsidRPr="00B47FA8" w:rsidRDefault="00757675" w:rsidP="00757675">
      <w:pPr>
        <w:jc w:val="both"/>
        <w:rPr>
          <w:sz w:val="24"/>
          <w:szCs w:val="24"/>
        </w:rPr>
      </w:pPr>
      <w:r w:rsidRPr="00B47FA8">
        <w:rPr>
          <w:sz w:val="24"/>
          <w:szCs w:val="24"/>
        </w:rPr>
        <w:t xml:space="preserve">The Company/Consultant will be work under the authority of the MAFWM/Directorate for Agrarian Payments and will report to the </w:t>
      </w:r>
      <w:r w:rsidR="00451B02">
        <w:rPr>
          <w:sz w:val="24"/>
          <w:szCs w:val="24"/>
        </w:rPr>
        <w:t xml:space="preserve">Project </w:t>
      </w:r>
      <w:r w:rsidRPr="00B47FA8">
        <w:rPr>
          <w:sz w:val="24"/>
          <w:szCs w:val="24"/>
        </w:rPr>
        <w:t>Coordinator on a regular basis on the progress of the Project implementation. Reports should be submitted on time with all necessary information and provide predictive analysis for specific issues. The reports and deliverables will be submitted in both Serbian and English, language, sent via email along with 2 hard copies for approval to the MAFWM. All reports shall be approved by the Projec</w:t>
      </w:r>
      <w:r w:rsidR="00451B02">
        <w:rPr>
          <w:sz w:val="24"/>
          <w:szCs w:val="24"/>
        </w:rPr>
        <w:t>t</w:t>
      </w:r>
      <w:r w:rsidRPr="00B47FA8">
        <w:rPr>
          <w:sz w:val="24"/>
          <w:szCs w:val="24"/>
        </w:rPr>
        <w:t xml:space="preserve"> Coordinator</w:t>
      </w:r>
      <w:r w:rsidR="00451B02">
        <w:rPr>
          <w:sz w:val="24"/>
          <w:szCs w:val="24"/>
        </w:rPr>
        <w:t xml:space="preserve"> and Grant Procurement Specialist.</w:t>
      </w:r>
    </w:p>
    <w:p w14:paraId="1FFCBD8B" w14:textId="1192900D" w:rsidR="00696F27" w:rsidRDefault="00696F27" w:rsidP="00F307EA">
      <w:pPr>
        <w:pStyle w:val="Heading1"/>
        <w:tabs>
          <w:tab w:val="left" w:pos="823"/>
        </w:tabs>
        <w:ind w:left="0" w:firstLine="0"/>
        <w:jc w:val="both"/>
        <w:rPr>
          <w:b w:val="0"/>
        </w:rPr>
      </w:pPr>
      <w:bookmarkStart w:id="0" w:name="_GoBack"/>
      <w:bookmarkEnd w:id="0"/>
    </w:p>
    <w:p w14:paraId="0F2E1485" w14:textId="007E8BAF" w:rsidR="00451B02" w:rsidRDefault="00451B02" w:rsidP="00451B02">
      <w:pPr>
        <w:pStyle w:val="ListParagraph"/>
        <w:numPr>
          <w:ilvl w:val="0"/>
          <w:numId w:val="1"/>
        </w:numPr>
        <w:rPr>
          <w:b/>
          <w:bCs/>
          <w:sz w:val="24"/>
          <w:szCs w:val="24"/>
        </w:rPr>
      </w:pPr>
      <w:r w:rsidRPr="00451B02">
        <w:rPr>
          <w:b/>
          <w:bCs/>
          <w:sz w:val="24"/>
          <w:szCs w:val="24"/>
        </w:rPr>
        <w:t xml:space="preserve">Qualifications </w:t>
      </w:r>
    </w:p>
    <w:p w14:paraId="11C167B5" w14:textId="68B9A839" w:rsidR="00451B02" w:rsidRDefault="00451B02" w:rsidP="00451B02">
      <w:pPr>
        <w:rPr>
          <w:b/>
          <w:bCs/>
          <w:sz w:val="24"/>
          <w:szCs w:val="24"/>
        </w:rPr>
      </w:pPr>
    </w:p>
    <w:p w14:paraId="2E718185" w14:textId="682F1647" w:rsidR="00CC302E" w:rsidRDefault="00451B02" w:rsidP="00B453AF">
      <w:pPr>
        <w:spacing w:after="120"/>
      </w:pPr>
      <w:r>
        <w:rPr>
          <w:bCs/>
          <w:sz w:val="24"/>
          <w:szCs w:val="24"/>
        </w:rPr>
        <w:t xml:space="preserve">The </w:t>
      </w:r>
      <w:r w:rsidR="00DD6DE0" w:rsidRPr="00DD6DE0">
        <w:rPr>
          <w:bCs/>
          <w:sz w:val="24"/>
          <w:szCs w:val="24"/>
        </w:rPr>
        <w:t>Company/Consultant is to meet the following requirements</w:t>
      </w:r>
      <w:r w:rsidR="00CC302E">
        <w:rPr>
          <w:bCs/>
          <w:sz w:val="24"/>
          <w:szCs w:val="24"/>
        </w:rPr>
        <w:t>:</w:t>
      </w:r>
    </w:p>
    <w:p w14:paraId="73966E9D" w14:textId="308FC842" w:rsidR="00DD6DE0" w:rsidRDefault="00DD6DE0">
      <w:pPr>
        <w:pStyle w:val="ListParagraph"/>
        <w:numPr>
          <w:ilvl w:val="0"/>
          <w:numId w:val="11"/>
        </w:numPr>
        <w:spacing w:after="60"/>
        <w:rPr>
          <w:bCs/>
          <w:sz w:val="24"/>
          <w:szCs w:val="24"/>
        </w:rPr>
      </w:pPr>
      <w:r w:rsidRPr="00DD6DE0">
        <w:rPr>
          <w:bCs/>
          <w:sz w:val="24"/>
          <w:szCs w:val="24"/>
        </w:rPr>
        <w:t>Shall be registered as a legal entity</w:t>
      </w:r>
      <w:r w:rsidR="005A09AF">
        <w:rPr>
          <w:bCs/>
          <w:sz w:val="24"/>
          <w:szCs w:val="24"/>
        </w:rPr>
        <w:t>;</w:t>
      </w:r>
    </w:p>
    <w:p w14:paraId="1702578B" w14:textId="2ABF9D5E" w:rsidR="00836E19" w:rsidRPr="00836E19" w:rsidRDefault="00836E19" w:rsidP="00836E19">
      <w:pPr>
        <w:pStyle w:val="ListParagraph"/>
        <w:numPr>
          <w:ilvl w:val="0"/>
          <w:numId w:val="11"/>
        </w:numPr>
        <w:spacing w:after="60"/>
        <w:rPr>
          <w:bCs/>
          <w:sz w:val="24"/>
          <w:szCs w:val="24"/>
        </w:rPr>
      </w:pPr>
      <w:r>
        <w:rPr>
          <w:bCs/>
          <w:sz w:val="24"/>
          <w:szCs w:val="24"/>
        </w:rPr>
        <w:t>have at least one project per year, for the last three years, in the sector of agriculture; project has to be from one of the following areas: audit, financial advisory, valuation;</w:t>
      </w:r>
    </w:p>
    <w:p w14:paraId="3DE36EEB" w14:textId="592313DF" w:rsidR="00DD6DE0" w:rsidRPr="00B453AF" w:rsidRDefault="00DD6DE0" w:rsidP="00B453AF">
      <w:pPr>
        <w:pStyle w:val="ListParagraph"/>
        <w:numPr>
          <w:ilvl w:val="0"/>
          <w:numId w:val="11"/>
        </w:numPr>
        <w:spacing w:after="60"/>
        <w:rPr>
          <w:bCs/>
          <w:sz w:val="24"/>
          <w:szCs w:val="24"/>
        </w:rPr>
      </w:pPr>
      <w:r w:rsidRPr="003B161C">
        <w:rPr>
          <w:bCs/>
          <w:sz w:val="24"/>
          <w:szCs w:val="24"/>
        </w:rPr>
        <w:t>have at least 10 authorized auditors that are members of the Chamber of Authorized Auditors of the Republic of Serbia;</w:t>
      </w:r>
    </w:p>
    <w:p w14:paraId="1260DD71" w14:textId="6EC44A38" w:rsidR="00CC302E" w:rsidRPr="00B453AF" w:rsidRDefault="00CC302E" w:rsidP="00B453AF">
      <w:pPr>
        <w:pStyle w:val="ListParagraph"/>
        <w:numPr>
          <w:ilvl w:val="0"/>
          <w:numId w:val="11"/>
        </w:numPr>
        <w:spacing w:after="60"/>
        <w:rPr>
          <w:bCs/>
          <w:sz w:val="24"/>
          <w:szCs w:val="24"/>
        </w:rPr>
      </w:pPr>
      <w:r w:rsidRPr="00B453AF">
        <w:rPr>
          <w:bCs/>
          <w:sz w:val="24"/>
          <w:szCs w:val="24"/>
        </w:rPr>
        <w:t>have</w:t>
      </w:r>
      <w:r w:rsidR="00451B02" w:rsidRPr="00B453AF">
        <w:rPr>
          <w:bCs/>
          <w:sz w:val="24"/>
          <w:szCs w:val="24"/>
        </w:rPr>
        <w:t xml:space="preserve"> at least 10 auditors with the ACCA title (lists can be</w:t>
      </w:r>
      <w:r w:rsidRPr="00B453AF">
        <w:rPr>
          <w:bCs/>
          <w:sz w:val="24"/>
          <w:szCs w:val="24"/>
        </w:rPr>
        <w:t xml:space="preserve"> </w:t>
      </w:r>
      <w:r w:rsidR="00451B02" w:rsidRPr="00B453AF">
        <w:rPr>
          <w:bCs/>
          <w:sz w:val="24"/>
          <w:szCs w:val="24"/>
        </w:rPr>
        <w:t>overlap)</w:t>
      </w:r>
      <w:r w:rsidRPr="00B453AF">
        <w:rPr>
          <w:bCs/>
          <w:sz w:val="24"/>
          <w:szCs w:val="24"/>
        </w:rPr>
        <w:t>;</w:t>
      </w:r>
    </w:p>
    <w:p w14:paraId="005F36D9" w14:textId="7B60493D" w:rsidR="00451B02" w:rsidRPr="00B453AF" w:rsidRDefault="00CC302E" w:rsidP="00B453AF">
      <w:pPr>
        <w:pStyle w:val="ListParagraph"/>
        <w:numPr>
          <w:ilvl w:val="0"/>
          <w:numId w:val="11"/>
        </w:numPr>
        <w:spacing w:after="60"/>
        <w:rPr>
          <w:bCs/>
          <w:sz w:val="24"/>
          <w:szCs w:val="24"/>
        </w:rPr>
      </w:pPr>
      <w:r w:rsidRPr="00B453AF">
        <w:rPr>
          <w:bCs/>
          <w:sz w:val="24"/>
          <w:szCs w:val="24"/>
        </w:rPr>
        <w:t>have</w:t>
      </w:r>
      <w:r w:rsidR="00451B02" w:rsidRPr="00B453AF">
        <w:rPr>
          <w:bCs/>
          <w:sz w:val="24"/>
          <w:szCs w:val="24"/>
        </w:rPr>
        <w:t xml:space="preserve"> at least 3 employees with international designations relevant to valuation (</w:t>
      </w:r>
      <w:proofErr w:type="gramStart"/>
      <w:r w:rsidR="00451B02" w:rsidRPr="00B453AF">
        <w:rPr>
          <w:bCs/>
          <w:sz w:val="24"/>
          <w:szCs w:val="24"/>
        </w:rPr>
        <w:t>CFA,</w:t>
      </w:r>
      <w:r w:rsidRPr="00B453AF">
        <w:rPr>
          <w:bCs/>
          <w:sz w:val="24"/>
          <w:szCs w:val="24"/>
        </w:rPr>
        <w:t>ASA</w:t>
      </w:r>
      <w:proofErr w:type="gramEnd"/>
      <w:r w:rsidR="00451B02" w:rsidRPr="00B453AF">
        <w:rPr>
          <w:bCs/>
          <w:sz w:val="24"/>
          <w:szCs w:val="24"/>
        </w:rPr>
        <w:t>)</w:t>
      </w:r>
      <w:r w:rsidRPr="00B453AF">
        <w:rPr>
          <w:bCs/>
          <w:sz w:val="24"/>
          <w:szCs w:val="24"/>
        </w:rPr>
        <w:t>;</w:t>
      </w:r>
    </w:p>
    <w:p w14:paraId="10E2A176" w14:textId="37E6B5F4" w:rsidR="00451B02" w:rsidRPr="00B453AF" w:rsidRDefault="00CC302E" w:rsidP="00B453AF">
      <w:pPr>
        <w:pStyle w:val="ListParagraph"/>
        <w:numPr>
          <w:ilvl w:val="0"/>
          <w:numId w:val="11"/>
        </w:numPr>
        <w:spacing w:after="60"/>
        <w:rPr>
          <w:bCs/>
          <w:sz w:val="24"/>
          <w:szCs w:val="24"/>
        </w:rPr>
      </w:pPr>
      <w:r w:rsidRPr="00B453AF">
        <w:rPr>
          <w:bCs/>
          <w:sz w:val="24"/>
          <w:szCs w:val="24"/>
        </w:rPr>
        <w:t>have a</w:t>
      </w:r>
      <w:r w:rsidR="00451B02" w:rsidRPr="00B453AF">
        <w:rPr>
          <w:bCs/>
          <w:sz w:val="24"/>
          <w:szCs w:val="24"/>
        </w:rPr>
        <w:t xml:space="preserve">t least two team members </w:t>
      </w:r>
      <w:r w:rsidRPr="00B453AF">
        <w:rPr>
          <w:bCs/>
          <w:sz w:val="24"/>
          <w:szCs w:val="24"/>
        </w:rPr>
        <w:t xml:space="preserve">that </w:t>
      </w:r>
      <w:r w:rsidR="00451B02" w:rsidRPr="00B453AF">
        <w:rPr>
          <w:bCs/>
          <w:sz w:val="24"/>
          <w:szCs w:val="24"/>
        </w:rPr>
        <w:t>should hold an international qualification relevant to valuation (ASA,</w:t>
      </w:r>
      <w:r w:rsidRPr="00B453AF">
        <w:rPr>
          <w:bCs/>
          <w:sz w:val="24"/>
          <w:szCs w:val="24"/>
        </w:rPr>
        <w:t xml:space="preserve"> </w:t>
      </w:r>
      <w:r w:rsidR="00451B02" w:rsidRPr="00B453AF">
        <w:rPr>
          <w:bCs/>
          <w:sz w:val="24"/>
          <w:szCs w:val="24"/>
        </w:rPr>
        <w:t xml:space="preserve">CFA, BV-REV) and </w:t>
      </w:r>
      <w:r w:rsidRPr="00B453AF">
        <w:rPr>
          <w:bCs/>
          <w:sz w:val="24"/>
          <w:szCs w:val="24"/>
        </w:rPr>
        <w:t xml:space="preserve">that are with </w:t>
      </w:r>
      <w:r w:rsidR="00451B02" w:rsidRPr="00B453AF">
        <w:rPr>
          <w:bCs/>
          <w:sz w:val="24"/>
          <w:szCs w:val="24"/>
        </w:rPr>
        <w:t>more than 15 years of experience in valuation work</w:t>
      </w:r>
      <w:r w:rsidRPr="00B453AF">
        <w:rPr>
          <w:bCs/>
          <w:sz w:val="24"/>
          <w:szCs w:val="24"/>
        </w:rPr>
        <w:t>;</w:t>
      </w:r>
    </w:p>
    <w:p w14:paraId="10606565" w14:textId="28DF10CF" w:rsidR="00373D6E" w:rsidRPr="00B453AF" w:rsidRDefault="00373D6E" w:rsidP="00B453AF">
      <w:pPr>
        <w:pStyle w:val="ListParagraph"/>
        <w:numPr>
          <w:ilvl w:val="0"/>
          <w:numId w:val="11"/>
        </w:numPr>
        <w:spacing w:after="120"/>
        <w:rPr>
          <w:bCs/>
          <w:sz w:val="24"/>
          <w:szCs w:val="24"/>
        </w:rPr>
      </w:pPr>
      <w:r w:rsidRPr="00B453AF">
        <w:rPr>
          <w:bCs/>
          <w:sz w:val="24"/>
          <w:szCs w:val="24"/>
        </w:rPr>
        <w:t xml:space="preserve">have at </w:t>
      </w:r>
      <w:r w:rsidR="00451B02" w:rsidRPr="00B453AF">
        <w:rPr>
          <w:bCs/>
          <w:sz w:val="24"/>
          <w:szCs w:val="24"/>
        </w:rPr>
        <w:t xml:space="preserve">least one member of the team </w:t>
      </w:r>
      <w:r w:rsidRPr="00B453AF">
        <w:rPr>
          <w:bCs/>
          <w:sz w:val="24"/>
          <w:szCs w:val="24"/>
        </w:rPr>
        <w:t xml:space="preserve">that </w:t>
      </w:r>
      <w:r w:rsidR="00451B02" w:rsidRPr="00B453AF">
        <w:rPr>
          <w:bCs/>
          <w:sz w:val="24"/>
          <w:szCs w:val="24"/>
        </w:rPr>
        <w:t>should hold a national real estate appraisal license and some</w:t>
      </w:r>
      <w:r w:rsidRPr="00B453AF">
        <w:rPr>
          <w:bCs/>
          <w:sz w:val="24"/>
          <w:szCs w:val="24"/>
        </w:rPr>
        <w:t xml:space="preserve"> </w:t>
      </w:r>
      <w:r w:rsidR="00451B02" w:rsidRPr="00B453AF">
        <w:rPr>
          <w:bCs/>
          <w:sz w:val="24"/>
          <w:szCs w:val="24"/>
        </w:rPr>
        <w:t>from internationally recognized real estate appraisal licenses (ASA, REV, RICS or others</w:t>
      </w:r>
      <w:r w:rsidRPr="00B453AF">
        <w:rPr>
          <w:bCs/>
          <w:sz w:val="24"/>
          <w:szCs w:val="24"/>
        </w:rPr>
        <w:t xml:space="preserve"> </w:t>
      </w:r>
      <w:r w:rsidR="00451B02" w:rsidRPr="00B453AF">
        <w:rPr>
          <w:bCs/>
          <w:sz w:val="24"/>
          <w:szCs w:val="24"/>
        </w:rPr>
        <w:t>corresponding internationally recognized title)</w:t>
      </w:r>
      <w:r w:rsidRPr="00B453AF">
        <w:rPr>
          <w:bCs/>
          <w:sz w:val="24"/>
          <w:szCs w:val="24"/>
        </w:rPr>
        <w:t>.</w:t>
      </w:r>
    </w:p>
    <w:p w14:paraId="0456B9E3" w14:textId="3ED462B4" w:rsidR="00373D6E" w:rsidRDefault="00373D6E" w:rsidP="00373D6E">
      <w:pPr>
        <w:jc w:val="both"/>
        <w:rPr>
          <w:sz w:val="24"/>
          <w:szCs w:val="24"/>
        </w:rPr>
      </w:pPr>
      <w:r w:rsidRPr="00B47FA8">
        <w:rPr>
          <w:sz w:val="24"/>
          <w:szCs w:val="24"/>
        </w:rPr>
        <w:lastRenderedPageBreak/>
        <w:t>The service provider must ensure the engagement of qualified experts, as well as the necessary equipment for the necessary works for the achievements of project objectives.</w:t>
      </w:r>
    </w:p>
    <w:p w14:paraId="62A20E8D" w14:textId="4AA4CDB7" w:rsidR="00373D6E" w:rsidRDefault="00373D6E" w:rsidP="00451B02">
      <w:pPr>
        <w:rPr>
          <w:bCs/>
          <w:sz w:val="24"/>
          <w:szCs w:val="24"/>
        </w:rPr>
      </w:pPr>
    </w:p>
    <w:p w14:paraId="2F74C072" w14:textId="50FB2259" w:rsidR="005A09AF" w:rsidRDefault="005A09AF" w:rsidP="00B453AF">
      <w:pPr>
        <w:jc w:val="both"/>
        <w:rPr>
          <w:bCs/>
          <w:sz w:val="24"/>
          <w:szCs w:val="24"/>
        </w:rPr>
      </w:pPr>
      <w:r w:rsidRPr="005A09AF">
        <w:rPr>
          <w:bCs/>
          <w:sz w:val="24"/>
          <w:szCs w:val="24"/>
        </w:rPr>
        <w:t>The Company/Consultant</w:t>
      </w:r>
      <w:r w:rsidRPr="005A09AF">
        <w:t xml:space="preserve"> </w:t>
      </w:r>
      <w:r w:rsidRPr="005A09AF">
        <w:rPr>
          <w:bCs/>
          <w:sz w:val="24"/>
          <w:szCs w:val="24"/>
        </w:rPr>
        <w:t>shall provide a team of experts covering the following requirements:</w:t>
      </w:r>
    </w:p>
    <w:p w14:paraId="4D6192B6" w14:textId="77777777" w:rsidR="005A09AF" w:rsidRDefault="005A09AF" w:rsidP="00451B02">
      <w:pPr>
        <w:rPr>
          <w:bCs/>
          <w:sz w:val="24"/>
          <w:szCs w:val="24"/>
        </w:rPr>
      </w:pPr>
    </w:p>
    <w:p w14:paraId="0C52E0EC" w14:textId="6A5ABD39" w:rsidR="00373D6E" w:rsidRPr="00B453AF" w:rsidRDefault="005A09AF" w:rsidP="00451B02">
      <w:pPr>
        <w:rPr>
          <w:bCs/>
          <w:sz w:val="24"/>
          <w:szCs w:val="24"/>
        </w:rPr>
      </w:pPr>
      <w:r w:rsidRPr="00B453AF">
        <w:rPr>
          <w:bCs/>
          <w:sz w:val="24"/>
          <w:szCs w:val="24"/>
        </w:rPr>
        <w:t xml:space="preserve">Key Expert 1 - </w:t>
      </w:r>
      <w:r w:rsidR="00373D6E" w:rsidRPr="00B453AF">
        <w:rPr>
          <w:bCs/>
          <w:sz w:val="24"/>
          <w:szCs w:val="24"/>
        </w:rPr>
        <w:t>Team leader</w:t>
      </w:r>
    </w:p>
    <w:p w14:paraId="361A11BE" w14:textId="21277E4B" w:rsidR="00836E19" w:rsidRPr="00B453AF" w:rsidRDefault="00836E19" w:rsidP="00451B02">
      <w:pPr>
        <w:rPr>
          <w:bCs/>
          <w:sz w:val="24"/>
          <w:szCs w:val="24"/>
        </w:rPr>
      </w:pPr>
    </w:p>
    <w:p w14:paraId="325A6AB1" w14:textId="77777777" w:rsidR="00836E19" w:rsidRPr="00B453AF" w:rsidRDefault="00836E19" w:rsidP="00836E19">
      <w:pPr>
        <w:pStyle w:val="ListParagraph"/>
        <w:numPr>
          <w:ilvl w:val="0"/>
          <w:numId w:val="11"/>
        </w:numPr>
        <w:rPr>
          <w:bCs/>
          <w:sz w:val="24"/>
          <w:szCs w:val="24"/>
        </w:rPr>
      </w:pPr>
      <w:r w:rsidRPr="00B453AF">
        <w:rPr>
          <w:bCs/>
          <w:sz w:val="24"/>
          <w:szCs w:val="24"/>
        </w:rPr>
        <w:t>at least 15 years of experience in valuation field;</w:t>
      </w:r>
    </w:p>
    <w:p w14:paraId="47D90895" w14:textId="77777777" w:rsidR="00836E19" w:rsidRPr="00B453AF" w:rsidRDefault="00836E19" w:rsidP="00836E19">
      <w:pPr>
        <w:pStyle w:val="ListParagraph"/>
        <w:numPr>
          <w:ilvl w:val="0"/>
          <w:numId w:val="11"/>
        </w:numPr>
        <w:rPr>
          <w:bCs/>
          <w:sz w:val="24"/>
          <w:szCs w:val="24"/>
        </w:rPr>
      </w:pPr>
      <w:r w:rsidRPr="00B453AF">
        <w:rPr>
          <w:bCs/>
          <w:sz w:val="24"/>
          <w:szCs w:val="24"/>
        </w:rPr>
        <w:t>international designation related to valuation (ASA, CFA)</w:t>
      </w:r>
    </w:p>
    <w:p w14:paraId="0324B5AD" w14:textId="1924CD46" w:rsidR="00836E19" w:rsidRPr="00B453AF" w:rsidRDefault="00836E19" w:rsidP="00836E19">
      <w:pPr>
        <w:pStyle w:val="ListParagraph"/>
        <w:numPr>
          <w:ilvl w:val="0"/>
          <w:numId w:val="11"/>
        </w:numPr>
        <w:rPr>
          <w:bCs/>
          <w:sz w:val="24"/>
          <w:szCs w:val="24"/>
        </w:rPr>
      </w:pPr>
      <w:r w:rsidRPr="00B453AF">
        <w:rPr>
          <w:bCs/>
          <w:sz w:val="24"/>
          <w:szCs w:val="24"/>
        </w:rPr>
        <w:t>at least 1 valuation project in the last 5 years in the agriculture sector</w:t>
      </w:r>
    </w:p>
    <w:p w14:paraId="33E3B1A0" w14:textId="424C77DB" w:rsidR="00836E19" w:rsidRPr="00B453AF" w:rsidRDefault="00836E19" w:rsidP="00836E19">
      <w:pPr>
        <w:pStyle w:val="ListParagraph"/>
        <w:numPr>
          <w:ilvl w:val="0"/>
          <w:numId w:val="11"/>
        </w:numPr>
        <w:rPr>
          <w:bCs/>
          <w:sz w:val="24"/>
          <w:szCs w:val="24"/>
        </w:rPr>
      </w:pPr>
      <w:r w:rsidRPr="00B453AF">
        <w:rPr>
          <w:bCs/>
          <w:sz w:val="24"/>
          <w:szCs w:val="24"/>
        </w:rPr>
        <w:t>relevant University degree</w:t>
      </w:r>
    </w:p>
    <w:p w14:paraId="0A9EF310" w14:textId="0C3B4250" w:rsidR="00836E19" w:rsidRPr="00B453AF" w:rsidRDefault="00836E19" w:rsidP="00836E19">
      <w:pPr>
        <w:rPr>
          <w:bCs/>
          <w:sz w:val="24"/>
          <w:szCs w:val="24"/>
        </w:rPr>
      </w:pPr>
    </w:p>
    <w:p w14:paraId="586BB5C7" w14:textId="4B7D60D3" w:rsidR="00836E19" w:rsidRPr="00B453AF" w:rsidRDefault="00836E19" w:rsidP="00836E19">
      <w:pPr>
        <w:rPr>
          <w:bCs/>
          <w:sz w:val="24"/>
          <w:szCs w:val="24"/>
        </w:rPr>
      </w:pPr>
      <w:r w:rsidRPr="00B453AF">
        <w:rPr>
          <w:bCs/>
          <w:sz w:val="24"/>
          <w:szCs w:val="24"/>
        </w:rPr>
        <w:t>Key Expert 2 – Technical team leader</w:t>
      </w:r>
    </w:p>
    <w:p w14:paraId="1784CA38" w14:textId="5C4E78C5" w:rsidR="00373D6E" w:rsidRPr="00B453AF" w:rsidRDefault="00373D6E" w:rsidP="00451B02">
      <w:pPr>
        <w:rPr>
          <w:bCs/>
          <w:sz w:val="24"/>
          <w:szCs w:val="24"/>
        </w:rPr>
      </w:pPr>
    </w:p>
    <w:p w14:paraId="6BF483A6" w14:textId="4639CBC1" w:rsidR="00836E19" w:rsidRPr="00B453AF" w:rsidRDefault="00836E19" w:rsidP="00B453AF">
      <w:pPr>
        <w:numPr>
          <w:ilvl w:val="0"/>
          <w:numId w:val="11"/>
        </w:numPr>
        <w:rPr>
          <w:bCs/>
          <w:sz w:val="24"/>
          <w:szCs w:val="24"/>
        </w:rPr>
      </w:pPr>
      <w:r w:rsidRPr="00B453AF">
        <w:rPr>
          <w:bCs/>
          <w:sz w:val="24"/>
          <w:szCs w:val="24"/>
        </w:rPr>
        <w:t>at least 10 years of experience in valuation of machinery and equipment;</w:t>
      </w:r>
    </w:p>
    <w:p w14:paraId="1E6B71AA" w14:textId="23150716" w:rsidR="00836E19" w:rsidRPr="00B453AF" w:rsidRDefault="00836E19" w:rsidP="00836E19">
      <w:pPr>
        <w:numPr>
          <w:ilvl w:val="0"/>
          <w:numId w:val="11"/>
        </w:numPr>
        <w:rPr>
          <w:bCs/>
          <w:sz w:val="24"/>
          <w:szCs w:val="24"/>
        </w:rPr>
      </w:pPr>
      <w:r w:rsidRPr="00B453AF">
        <w:rPr>
          <w:bCs/>
          <w:sz w:val="24"/>
          <w:szCs w:val="24"/>
        </w:rPr>
        <w:t>certified court expert, of the mechanical and technical profession;</w:t>
      </w:r>
    </w:p>
    <w:p w14:paraId="19F48446" w14:textId="77777777" w:rsidR="00836E19" w:rsidRPr="00B453AF" w:rsidRDefault="00836E19" w:rsidP="00836E19">
      <w:pPr>
        <w:numPr>
          <w:ilvl w:val="0"/>
          <w:numId w:val="11"/>
        </w:numPr>
        <w:rPr>
          <w:bCs/>
          <w:sz w:val="24"/>
          <w:szCs w:val="24"/>
        </w:rPr>
      </w:pPr>
      <w:r w:rsidRPr="00B453AF">
        <w:rPr>
          <w:bCs/>
          <w:sz w:val="24"/>
          <w:szCs w:val="24"/>
        </w:rPr>
        <w:t>additional training in the field of valuation of machinery and equipment;</w:t>
      </w:r>
    </w:p>
    <w:p w14:paraId="12E429E8" w14:textId="78BD9E19" w:rsidR="00E647BE" w:rsidRPr="00B453AF" w:rsidRDefault="00836E19" w:rsidP="00E647BE">
      <w:pPr>
        <w:pStyle w:val="ListParagraph"/>
        <w:numPr>
          <w:ilvl w:val="0"/>
          <w:numId w:val="11"/>
        </w:numPr>
        <w:rPr>
          <w:bCs/>
          <w:sz w:val="24"/>
          <w:szCs w:val="24"/>
        </w:rPr>
      </w:pPr>
      <w:r w:rsidRPr="00B453AF">
        <w:rPr>
          <w:bCs/>
          <w:sz w:val="24"/>
          <w:szCs w:val="24"/>
        </w:rPr>
        <w:t xml:space="preserve">minimum Master’s degree in engineering or technical sciences, higher degree is considered an asset; </w:t>
      </w:r>
    </w:p>
    <w:p w14:paraId="6E22B3DD" w14:textId="6710C511" w:rsidR="00836E19" w:rsidRPr="00B453AF" w:rsidRDefault="00E647BE" w:rsidP="00E647BE">
      <w:pPr>
        <w:pStyle w:val="ListParagraph"/>
        <w:numPr>
          <w:ilvl w:val="0"/>
          <w:numId w:val="11"/>
        </w:numPr>
        <w:rPr>
          <w:bCs/>
          <w:sz w:val="24"/>
          <w:szCs w:val="24"/>
        </w:rPr>
      </w:pPr>
      <w:r w:rsidRPr="00B453AF">
        <w:rPr>
          <w:bCs/>
          <w:sz w:val="24"/>
          <w:szCs w:val="24"/>
        </w:rPr>
        <w:t>membership of one of the international appraisal bodies association (preferably ASA) will be considered a strong asset.</w:t>
      </w:r>
    </w:p>
    <w:p w14:paraId="484136C0" w14:textId="55277586" w:rsidR="00836E19" w:rsidRPr="00B453AF" w:rsidRDefault="00836E19" w:rsidP="00836E19">
      <w:pPr>
        <w:pStyle w:val="ListParagraph"/>
        <w:rPr>
          <w:bCs/>
          <w:sz w:val="24"/>
          <w:szCs w:val="24"/>
        </w:rPr>
      </w:pPr>
    </w:p>
    <w:p w14:paraId="78D51264" w14:textId="77777777" w:rsidR="00E647BE" w:rsidRPr="00B453AF" w:rsidRDefault="00E647BE" w:rsidP="00E647BE">
      <w:pPr>
        <w:rPr>
          <w:bCs/>
          <w:sz w:val="24"/>
          <w:szCs w:val="24"/>
        </w:rPr>
      </w:pPr>
      <w:r w:rsidRPr="00B453AF">
        <w:rPr>
          <w:bCs/>
          <w:sz w:val="24"/>
          <w:szCs w:val="24"/>
        </w:rPr>
        <w:t>Other team members</w:t>
      </w:r>
    </w:p>
    <w:p w14:paraId="212F8BED" w14:textId="77777777" w:rsidR="00E647BE" w:rsidRPr="00B453AF" w:rsidRDefault="00E647BE" w:rsidP="00B453AF">
      <w:pPr>
        <w:rPr>
          <w:bCs/>
          <w:sz w:val="24"/>
          <w:szCs w:val="24"/>
        </w:rPr>
      </w:pPr>
    </w:p>
    <w:p w14:paraId="3817D7D8" w14:textId="77777777" w:rsidR="00E647BE" w:rsidRPr="00B453AF" w:rsidRDefault="00E647BE" w:rsidP="00E647BE">
      <w:pPr>
        <w:pStyle w:val="ListParagraph"/>
        <w:numPr>
          <w:ilvl w:val="0"/>
          <w:numId w:val="11"/>
        </w:numPr>
        <w:spacing w:after="60"/>
        <w:rPr>
          <w:bCs/>
          <w:sz w:val="24"/>
          <w:szCs w:val="24"/>
        </w:rPr>
      </w:pPr>
      <w:r w:rsidRPr="00B453AF">
        <w:rPr>
          <w:bCs/>
          <w:sz w:val="24"/>
          <w:szCs w:val="24"/>
        </w:rPr>
        <w:t>at least one team member apart from team leader that should hold an international qualification relevant to valuation (ASA, CFA, BV-REV) and with more than 15 years of experience in valuation field;</w:t>
      </w:r>
    </w:p>
    <w:p w14:paraId="05C03DA8" w14:textId="77777777" w:rsidR="00E647BE" w:rsidRPr="00B453AF" w:rsidRDefault="00E647BE" w:rsidP="00E647BE">
      <w:pPr>
        <w:pStyle w:val="ListParagraph"/>
        <w:numPr>
          <w:ilvl w:val="0"/>
          <w:numId w:val="11"/>
        </w:numPr>
        <w:spacing w:after="120"/>
        <w:rPr>
          <w:bCs/>
          <w:sz w:val="24"/>
          <w:szCs w:val="24"/>
        </w:rPr>
      </w:pPr>
      <w:r w:rsidRPr="00B453AF">
        <w:rPr>
          <w:bCs/>
          <w:sz w:val="24"/>
          <w:szCs w:val="24"/>
        </w:rPr>
        <w:t>at least one member of the team that should hold a national real estate appraisal license and one of internationally recognized real estate appraisal licenses (ASA, REV, RICS or others corresponding internationally recognized title).</w:t>
      </w:r>
    </w:p>
    <w:p w14:paraId="3CB772EC" w14:textId="0C69CC66" w:rsidR="005A09AF" w:rsidRDefault="005A09AF">
      <w:pPr>
        <w:rPr>
          <w:bCs/>
          <w:sz w:val="24"/>
          <w:szCs w:val="24"/>
        </w:rPr>
      </w:pPr>
    </w:p>
    <w:p w14:paraId="51D30DF7" w14:textId="72A183D1" w:rsidR="005A09AF" w:rsidRPr="00B453AF" w:rsidRDefault="005A09AF" w:rsidP="00B453AF">
      <w:pPr>
        <w:jc w:val="both"/>
        <w:rPr>
          <w:bCs/>
          <w:sz w:val="24"/>
          <w:szCs w:val="24"/>
        </w:rPr>
      </w:pPr>
      <w:r w:rsidRPr="00B453AF">
        <w:rPr>
          <w:bCs/>
          <w:sz w:val="24"/>
          <w:szCs w:val="24"/>
        </w:rPr>
        <w:t>Key e</w:t>
      </w:r>
      <w:proofErr w:type="spellStart"/>
      <w:r w:rsidRPr="00B453AF">
        <w:rPr>
          <w:bCs/>
          <w:sz w:val="24"/>
          <w:szCs w:val="24"/>
          <w:lang w:val="sr-Latn-RS"/>
        </w:rPr>
        <w:t>xperts</w:t>
      </w:r>
      <w:proofErr w:type="spellEnd"/>
      <w:r w:rsidRPr="00B453AF">
        <w:rPr>
          <w:bCs/>
          <w:sz w:val="24"/>
          <w:szCs w:val="24"/>
        </w:rPr>
        <w:t xml:space="preserve"> must provide adequate proof for all of the requirements presented and a statement of availability for the tasks.</w:t>
      </w:r>
    </w:p>
    <w:p w14:paraId="3EAD088E" w14:textId="0AC691A3" w:rsidR="00451B02" w:rsidRDefault="00451B02" w:rsidP="00F307EA">
      <w:pPr>
        <w:pStyle w:val="Heading1"/>
        <w:tabs>
          <w:tab w:val="left" w:pos="823"/>
        </w:tabs>
        <w:ind w:left="0" w:firstLine="0"/>
        <w:jc w:val="both"/>
        <w:rPr>
          <w:b w:val="0"/>
        </w:rPr>
      </w:pPr>
    </w:p>
    <w:p w14:paraId="3B38AFDE" w14:textId="77777777" w:rsidR="00373D6E" w:rsidRPr="00373D6E" w:rsidRDefault="00373D6E" w:rsidP="00373D6E">
      <w:pPr>
        <w:pStyle w:val="ListParagraph"/>
        <w:numPr>
          <w:ilvl w:val="0"/>
          <w:numId w:val="1"/>
        </w:numPr>
        <w:rPr>
          <w:b/>
          <w:bCs/>
          <w:sz w:val="24"/>
          <w:szCs w:val="24"/>
        </w:rPr>
      </w:pPr>
      <w:r w:rsidRPr="00373D6E">
        <w:rPr>
          <w:b/>
          <w:bCs/>
          <w:sz w:val="24"/>
          <w:szCs w:val="24"/>
        </w:rPr>
        <w:t>Logistic and timing</w:t>
      </w:r>
    </w:p>
    <w:p w14:paraId="7ECDE0DE" w14:textId="6BC978D0" w:rsidR="00373D6E" w:rsidRDefault="00373D6E" w:rsidP="00F307EA">
      <w:pPr>
        <w:pStyle w:val="Heading1"/>
        <w:tabs>
          <w:tab w:val="left" w:pos="823"/>
        </w:tabs>
        <w:ind w:left="0" w:firstLine="0"/>
        <w:jc w:val="both"/>
        <w:rPr>
          <w:b w:val="0"/>
        </w:rPr>
      </w:pPr>
    </w:p>
    <w:p w14:paraId="2B2CAA37" w14:textId="09B9C266" w:rsidR="00373D6E" w:rsidRDefault="00373D6E" w:rsidP="00F307EA">
      <w:pPr>
        <w:pStyle w:val="Heading1"/>
        <w:tabs>
          <w:tab w:val="left" w:pos="823"/>
        </w:tabs>
        <w:ind w:left="0" w:firstLine="0"/>
        <w:jc w:val="both"/>
        <w:rPr>
          <w:b w:val="0"/>
        </w:rPr>
      </w:pPr>
      <w:r>
        <w:rPr>
          <w:b w:val="0"/>
        </w:rPr>
        <w:t xml:space="preserve">7.1 Location </w:t>
      </w:r>
    </w:p>
    <w:p w14:paraId="366385D1" w14:textId="231176B3" w:rsidR="00373D6E" w:rsidRDefault="00373D6E" w:rsidP="00F307EA">
      <w:pPr>
        <w:pStyle w:val="Heading1"/>
        <w:tabs>
          <w:tab w:val="left" w:pos="823"/>
        </w:tabs>
        <w:ind w:left="0" w:firstLine="0"/>
        <w:jc w:val="both"/>
        <w:rPr>
          <w:b w:val="0"/>
        </w:rPr>
      </w:pPr>
    </w:p>
    <w:p w14:paraId="70036759" w14:textId="55093B09" w:rsidR="00373D6E" w:rsidRDefault="00373D6E" w:rsidP="00F307EA">
      <w:pPr>
        <w:pStyle w:val="Heading1"/>
        <w:tabs>
          <w:tab w:val="left" w:pos="823"/>
        </w:tabs>
        <w:ind w:left="0" w:firstLine="0"/>
        <w:jc w:val="both"/>
        <w:rPr>
          <w:b w:val="0"/>
        </w:rPr>
      </w:pPr>
      <w:r w:rsidRPr="00373D6E">
        <w:rPr>
          <w:b w:val="0"/>
        </w:rPr>
        <w:t>The Consultant is expected to work from their own home office, while all meetings and events must be carried out in the Republic of Serbia. On-line meetings can also be held, but only upon prior agreement with the Contracting Authority.</w:t>
      </w:r>
    </w:p>
    <w:p w14:paraId="5E2AAAE0" w14:textId="25EA2EB7" w:rsidR="00373D6E" w:rsidRDefault="00373D6E" w:rsidP="00F307EA">
      <w:pPr>
        <w:pStyle w:val="Heading1"/>
        <w:tabs>
          <w:tab w:val="left" w:pos="823"/>
        </w:tabs>
        <w:ind w:left="0" w:firstLine="0"/>
        <w:jc w:val="both"/>
        <w:rPr>
          <w:b w:val="0"/>
        </w:rPr>
      </w:pPr>
    </w:p>
    <w:p w14:paraId="240EE611" w14:textId="28F10E9E" w:rsidR="00373D6E" w:rsidRDefault="00373D6E" w:rsidP="00F307EA">
      <w:pPr>
        <w:pStyle w:val="Heading1"/>
        <w:tabs>
          <w:tab w:val="left" w:pos="823"/>
        </w:tabs>
        <w:ind w:left="0" w:firstLine="0"/>
        <w:jc w:val="both"/>
        <w:rPr>
          <w:b w:val="0"/>
        </w:rPr>
      </w:pPr>
      <w:r>
        <w:rPr>
          <w:b w:val="0"/>
        </w:rPr>
        <w:t xml:space="preserve">7.2 Start date and period of implementation </w:t>
      </w:r>
    </w:p>
    <w:p w14:paraId="42CA9CF0" w14:textId="71F37F59" w:rsidR="00373D6E" w:rsidRDefault="00373D6E" w:rsidP="00F307EA">
      <w:pPr>
        <w:pStyle w:val="Heading1"/>
        <w:tabs>
          <w:tab w:val="left" w:pos="823"/>
        </w:tabs>
        <w:ind w:left="0" w:firstLine="0"/>
        <w:jc w:val="both"/>
        <w:rPr>
          <w:b w:val="0"/>
        </w:rPr>
      </w:pPr>
    </w:p>
    <w:p w14:paraId="25696335" w14:textId="05428B1B" w:rsidR="00373D6E" w:rsidRDefault="00373D6E" w:rsidP="00F307EA">
      <w:pPr>
        <w:pStyle w:val="Heading1"/>
        <w:tabs>
          <w:tab w:val="left" w:pos="823"/>
        </w:tabs>
        <w:ind w:left="0" w:firstLine="0"/>
        <w:jc w:val="both"/>
        <w:rPr>
          <w:b w:val="0"/>
        </w:rPr>
      </w:pPr>
      <w:r w:rsidRPr="00373D6E">
        <w:rPr>
          <w:b w:val="0"/>
        </w:rPr>
        <w:t>The tentative start date is</w:t>
      </w:r>
      <w:r>
        <w:rPr>
          <w:b w:val="0"/>
        </w:rPr>
        <w:t xml:space="preserve"> </w:t>
      </w:r>
      <w:r w:rsidR="005A09AF">
        <w:rPr>
          <w:b w:val="0"/>
        </w:rPr>
        <w:t>October</w:t>
      </w:r>
      <w:r w:rsidR="005A09AF" w:rsidRPr="00373D6E">
        <w:rPr>
          <w:b w:val="0"/>
        </w:rPr>
        <w:t xml:space="preserve"> </w:t>
      </w:r>
      <w:r w:rsidR="005A09AF">
        <w:rPr>
          <w:b w:val="0"/>
        </w:rPr>
        <w:t>1</w:t>
      </w:r>
      <w:r w:rsidRPr="00373D6E">
        <w:rPr>
          <w:b w:val="0"/>
        </w:rPr>
        <w:t xml:space="preserve">, 2023, and the period of implementation of the contract will be from the contract signature by both parties until finalization of the project implementation in </w:t>
      </w:r>
      <w:r>
        <w:rPr>
          <w:b w:val="0"/>
        </w:rPr>
        <w:t>November</w:t>
      </w:r>
      <w:r w:rsidRPr="00373D6E">
        <w:rPr>
          <w:b w:val="0"/>
        </w:rPr>
        <w:t xml:space="preserve"> </w:t>
      </w:r>
      <w:r w:rsidR="005A09AF">
        <w:rPr>
          <w:b w:val="0"/>
        </w:rPr>
        <w:t>30</w:t>
      </w:r>
      <w:r w:rsidRPr="00373D6E">
        <w:rPr>
          <w:b w:val="0"/>
        </w:rPr>
        <w:t>, 202</w:t>
      </w:r>
      <w:r>
        <w:rPr>
          <w:b w:val="0"/>
        </w:rPr>
        <w:t>3</w:t>
      </w:r>
      <w:r w:rsidRPr="00373D6E">
        <w:rPr>
          <w:b w:val="0"/>
        </w:rPr>
        <w:t>.</w:t>
      </w:r>
    </w:p>
    <w:p w14:paraId="2CC42322" w14:textId="7B849E19" w:rsidR="00373D6E" w:rsidRDefault="00373D6E" w:rsidP="00F307EA">
      <w:pPr>
        <w:pStyle w:val="Heading1"/>
        <w:tabs>
          <w:tab w:val="left" w:pos="823"/>
        </w:tabs>
        <w:ind w:left="0" w:firstLine="0"/>
        <w:jc w:val="both"/>
        <w:rPr>
          <w:b w:val="0"/>
        </w:rPr>
      </w:pPr>
    </w:p>
    <w:p w14:paraId="29B2219D" w14:textId="31856D28" w:rsidR="00373D6E" w:rsidRDefault="00373D6E" w:rsidP="00F307EA">
      <w:pPr>
        <w:pStyle w:val="Heading1"/>
        <w:tabs>
          <w:tab w:val="left" w:pos="823"/>
        </w:tabs>
        <w:ind w:left="0" w:firstLine="0"/>
        <w:jc w:val="both"/>
        <w:rPr>
          <w:b w:val="0"/>
        </w:rPr>
      </w:pPr>
      <w:r>
        <w:rPr>
          <w:b w:val="0"/>
        </w:rPr>
        <w:t xml:space="preserve">Project implementation is expected to last 2 months. </w:t>
      </w:r>
    </w:p>
    <w:p w14:paraId="66B971AB" w14:textId="734A9AAA" w:rsidR="00373D6E" w:rsidRDefault="00373D6E" w:rsidP="00F307EA">
      <w:pPr>
        <w:pStyle w:val="Heading1"/>
        <w:tabs>
          <w:tab w:val="left" w:pos="823"/>
        </w:tabs>
        <w:ind w:left="0" w:firstLine="0"/>
        <w:jc w:val="both"/>
        <w:rPr>
          <w:b w:val="0"/>
        </w:rPr>
      </w:pPr>
    </w:p>
    <w:p w14:paraId="5F00D290" w14:textId="77777777" w:rsidR="00373D6E" w:rsidRPr="00373D6E" w:rsidRDefault="00373D6E" w:rsidP="00373D6E">
      <w:pPr>
        <w:pStyle w:val="ListParagraph"/>
        <w:numPr>
          <w:ilvl w:val="0"/>
          <w:numId w:val="1"/>
        </w:numPr>
        <w:rPr>
          <w:b/>
          <w:bCs/>
          <w:sz w:val="24"/>
          <w:szCs w:val="24"/>
        </w:rPr>
      </w:pPr>
      <w:r w:rsidRPr="00373D6E">
        <w:rPr>
          <w:b/>
          <w:bCs/>
          <w:sz w:val="24"/>
          <w:szCs w:val="24"/>
        </w:rPr>
        <w:t xml:space="preserve">Selection </w:t>
      </w:r>
    </w:p>
    <w:p w14:paraId="3D9ABC6C" w14:textId="77777777" w:rsidR="00373D6E" w:rsidRPr="00B47FA8" w:rsidRDefault="00373D6E" w:rsidP="00373D6E">
      <w:pPr>
        <w:pStyle w:val="ListParagraph"/>
        <w:ind w:left="720" w:firstLine="0"/>
        <w:rPr>
          <w:sz w:val="24"/>
          <w:szCs w:val="24"/>
        </w:rPr>
      </w:pPr>
    </w:p>
    <w:p w14:paraId="743B5A77" w14:textId="64DF4912" w:rsidR="00373D6E" w:rsidRPr="00B47FA8" w:rsidRDefault="00373D6E" w:rsidP="00373D6E">
      <w:pPr>
        <w:jc w:val="both"/>
        <w:rPr>
          <w:sz w:val="24"/>
          <w:szCs w:val="24"/>
        </w:rPr>
      </w:pPr>
      <w:r w:rsidRPr="00B47FA8">
        <w:rPr>
          <w:sz w:val="24"/>
          <w:szCs w:val="24"/>
        </w:rPr>
        <w:t>The Consultant/Company will be selected in accordance with CQS method set out in the World Bank’s Procurement Regulations for IPF Borrowers (</w:t>
      </w:r>
      <w:r w:rsidR="005A09AF" w:rsidRPr="005A09AF">
        <w:rPr>
          <w:sz w:val="24"/>
          <w:szCs w:val="24"/>
        </w:rPr>
        <w:t>July 2016, revised November 2017</w:t>
      </w:r>
      <w:r w:rsidR="005A09AF">
        <w:rPr>
          <w:sz w:val="24"/>
          <w:szCs w:val="24"/>
        </w:rPr>
        <w:t xml:space="preserve">, </w:t>
      </w:r>
      <w:r w:rsidR="005A09AF" w:rsidRPr="005A09AF">
        <w:rPr>
          <w:sz w:val="24"/>
          <w:szCs w:val="24"/>
        </w:rPr>
        <w:t>August 2018</w:t>
      </w:r>
      <w:r w:rsidR="005A09AF">
        <w:rPr>
          <w:sz w:val="24"/>
          <w:szCs w:val="24"/>
        </w:rPr>
        <w:t xml:space="preserve"> and</w:t>
      </w:r>
      <w:r w:rsidRPr="00B47FA8">
        <w:rPr>
          <w:sz w:val="24"/>
          <w:szCs w:val="24"/>
        </w:rPr>
        <w:t xml:space="preserve"> November 2020).</w:t>
      </w:r>
    </w:p>
    <w:p w14:paraId="240A8244" w14:textId="77777777" w:rsidR="00373D6E" w:rsidRPr="00B47FA8" w:rsidRDefault="00373D6E" w:rsidP="00373D6E">
      <w:pPr>
        <w:pStyle w:val="ListParagraph"/>
        <w:ind w:left="662" w:firstLine="0"/>
        <w:rPr>
          <w:sz w:val="24"/>
          <w:szCs w:val="24"/>
        </w:rPr>
      </w:pPr>
    </w:p>
    <w:p w14:paraId="42342812" w14:textId="65033591" w:rsidR="00373D6E" w:rsidRPr="00B47FA8" w:rsidRDefault="004C424E" w:rsidP="00373D6E">
      <w:pPr>
        <w:jc w:val="both"/>
        <w:rPr>
          <w:b/>
          <w:bCs/>
          <w:sz w:val="24"/>
          <w:szCs w:val="24"/>
        </w:rPr>
      </w:pPr>
      <w:r w:rsidRPr="004C424E">
        <w:rPr>
          <w:b/>
          <w:bCs/>
          <w:sz w:val="24"/>
          <w:szCs w:val="24"/>
        </w:rPr>
        <w:t xml:space="preserve">Expressions of interest </w:t>
      </w:r>
      <w:r w:rsidR="00373D6E" w:rsidRPr="00B47FA8">
        <w:rPr>
          <w:b/>
          <w:bCs/>
          <w:sz w:val="24"/>
          <w:szCs w:val="24"/>
        </w:rPr>
        <w:t>will be evaluated based on the following criteria:</w:t>
      </w:r>
    </w:p>
    <w:p w14:paraId="65F20B4F" w14:textId="77777777" w:rsidR="00373D6E" w:rsidRPr="00B47FA8" w:rsidRDefault="00373D6E" w:rsidP="00373D6E">
      <w:pPr>
        <w:jc w:val="both"/>
        <w:rPr>
          <w:b/>
          <w:bCs/>
          <w:sz w:val="24"/>
          <w:szCs w:val="24"/>
        </w:rPr>
      </w:pPr>
    </w:p>
    <w:tbl>
      <w:tblPr>
        <w:tblStyle w:val="TableGrid"/>
        <w:tblW w:w="0" w:type="auto"/>
        <w:tblInd w:w="-5" w:type="dxa"/>
        <w:tblLook w:val="04A0" w:firstRow="1" w:lastRow="0" w:firstColumn="1" w:lastColumn="0" w:noHBand="0" w:noVBand="1"/>
      </w:tblPr>
      <w:tblGrid>
        <w:gridCol w:w="5040"/>
        <w:gridCol w:w="3830"/>
      </w:tblGrid>
      <w:tr w:rsidR="00373D6E" w:rsidRPr="00B47FA8" w14:paraId="3CB480F6" w14:textId="77777777" w:rsidTr="00B453AF">
        <w:trPr>
          <w:trHeight w:val="413"/>
        </w:trPr>
        <w:tc>
          <w:tcPr>
            <w:tcW w:w="5040" w:type="dxa"/>
          </w:tcPr>
          <w:p w14:paraId="11A8CE90" w14:textId="544A9839" w:rsidR="00373D6E" w:rsidRPr="00B47FA8" w:rsidRDefault="00373D6E">
            <w:pPr>
              <w:pStyle w:val="ListParagraph"/>
              <w:ind w:left="0" w:firstLine="0"/>
              <w:rPr>
                <w:sz w:val="24"/>
                <w:szCs w:val="24"/>
              </w:rPr>
            </w:pPr>
            <w:r w:rsidRPr="00B47FA8">
              <w:rPr>
                <w:sz w:val="24"/>
                <w:szCs w:val="24"/>
              </w:rPr>
              <w:t xml:space="preserve">Specific experience of the </w:t>
            </w:r>
            <w:r w:rsidR="004C424E">
              <w:rPr>
                <w:sz w:val="24"/>
                <w:szCs w:val="24"/>
              </w:rPr>
              <w:t>Consultant/</w:t>
            </w:r>
            <w:r w:rsidRPr="00B47FA8">
              <w:rPr>
                <w:sz w:val="24"/>
                <w:szCs w:val="24"/>
              </w:rPr>
              <w:t>Company</w:t>
            </w:r>
          </w:p>
        </w:tc>
        <w:tc>
          <w:tcPr>
            <w:tcW w:w="3830" w:type="dxa"/>
          </w:tcPr>
          <w:p w14:paraId="14091D44" w14:textId="49E9DD1D" w:rsidR="00373D6E" w:rsidRPr="00B47FA8" w:rsidRDefault="005A09AF" w:rsidP="00C46158">
            <w:pPr>
              <w:pStyle w:val="ListParagraph"/>
              <w:ind w:left="0" w:firstLine="0"/>
              <w:rPr>
                <w:sz w:val="24"/>
                <w:szCs w:val="24"/>
              </w:rPr>
            </w:pPr>
            <w:r>
              <w:rPr>
                <w:sz w:val="24"/>
                <w:szCs w:val="24"/>
              </w:rPr>
              <w:t>4</w:t>
            </w:r>
            <w:r w:rsidRPr="00B47FA8">
              <w:rPr>
                <w:sz w:val="24"/>
                <w:szCs w:val="24"/>
              </w:rPr>
              <w:t xml:space="preserve">0 </w:t>
            </w:r>
            <w:r w:rsidR="00373D6E" w:rsidRPr="00B47FA8">
              <w:rPr>
                <w:sz w:val="24"/>
                <w:szCs w:val="24"/>
              </w:rPr>
              <w:t>points</w:t>
            </w:r>
          </w:p>
        </w:tc>
      </w:tr>
      <w:tr w:rsidR="00373D6E" w:rsidRPr="00B47FA8" w14:paraId="03BF8AB9" w14:textId="77777777" w:rsidTr="00B453AF">
        <w:trPr>
          <w:trHeight w:val="386"/>
        </w:trPr>
        <w:tc>
          <w:tcPr>
            <w:tcW w:w="5040" w:type="dxa"/>
          </w:tcPr>
          <w:p w14:paraId="2A2FEC8A" w14:textId="77777777" w:rsidR="00373D6E" w:rsidRPr="00B47FA8" w:rsidRDefault="00373D6E" w:rsidP="00C46158">
            <w:pPr>
              <w:pStyle w:val="ListParagraph"/>
              <w:ind w:left="0" w:firstLine="0"/>
              <w:rPr>
                <w:sz w:val="24"/>
                <w:szCs w:val="24"/>
              </w:rPr>
            </w:pPr>
            <w:r w:rsidRPr="00B47FA8">
              <w:rPr>
                <w:sz w:val="24"/>
                <w:szCs w:val="24"/>
              </w:rPr>
              <w:t xml:space="preserve">Qualifications of key staff      </w:t>
            </w:r>
          </w:p>
        </w:tc>
        <w:tc>
          <w:tcPr>
            <w:tcW w:w="3830" w:type="dxa"/>
          </w:tcPr>
          <w:p w14:paraId="0B9239C9" w14:textId="2BD4839E" w:rsidR="00373D6E" w:rsidRPr="00B47FA8" w:rsidRDefault="005A09AF" w:rsidP="00C46158">
            <w:pPr>
              <w:pStyle w:val="ListParagraph"/>
              <w:ind w:left="0" w:firstLine="0"/>
              <w:rPr>
                <w:sz w:val="24"/>
                <w:szCs w:val="24"/>
              </w:rPr>
            </w:pPr>
            <w:r>
              <w:rPr>
                <w:sz w:val="24"/>
                <w:szCs w:val="24"/>
              </w:rPr>
              <w:t>6</w:t>
            </w:r>
            <w:r w:rsidRPr="00B47FA8">
              <w:rPr>
                <w:sz w:val="24"/>
                <w:szCs w:val="24"/>
              </w:rPr>
              <w:t xml:space="preserve">0 </w:t>
            </w:r>
            <w:r w:rsidR="00373D6E" w:rsidRPr="00B47FA8">
              <w:rPr>
                <w:sz w:val="24"/>
                <w:szCs w:val="24"/>
              </w:rPr>
              <w:t>points</w:t>
            </w:r>
          </w:p>
        </w:tc>
      </w:tr>
      <w:tr w:rsidR="005A09AF" w:rsidRPr="00B47FA8" w14:paraId="28558539" w14:textId="77777777" w:rsidTr="00B453AF">
        <w:trPr>
          <w:trHeight w:val="314"/>
        </w:trPr>
        <w:tc>
          <w:tcPr>
            <w:tcW w:w="5040" w:type="dxa"/>
          </w:tcPr>
          <w:p w14:paraId="09FF3D45" w14:textId="0ECD0943" w:rsidR="005A09AF" w:rsidRPr="00B453AF" w:rsidRDefault="005A09AF" w:rsidP="00C46158">
            <w:pPr>
              <w:pStyle w:val="ListParagraph"/>
              <w:ind w:left="0" w:firstLine="0"/>
              <w:rPr>
                <w:b/>
                <w:sz w:val="24"/>
                <w:szCs w:val="24"/>
              </w:rPr>
            </w:pPr>
            <w:r w:rsidRPr="00B453AF">
              <w:rPr>
                <w:b/>
                <w:sz w:val="24"/>
                <w:szCs w:val="24"/>
              </w:rPr>
              <w:t>TOTAL:</w:t>
            </w:r>
          </w:p>
        </w:tc>
        <w:tc>
          <w:tcPr>
            <w:tcW w:w="3830" w:type="dxa"/>
          </w:tcPr>
          <w:p w14:paraId="1FDE259C" w14:textId="49BB320A" w:rsidR="005A09AF" w:rsidRPr="00B453AF" w:rsidDel="005A09AF" w:rsidRDefault="005A09AF" w:rsidP="00C46158">
            <w:pPr>
              <w:pStyle w:val="ListParagraph"/>
              <w:ind w:left="0" w:firstLine="0"/>
              <w:rPr>
                <w:b/>
                <w:sz w:val="24"/>
                <w:szCs w:val="24"/>
              </w:rPr>
            </w:pPr>
            <w:r w:rsidRPr="00B453AF">
              <w:rPr>
                <w:b/>
                <w:sz w:val="24"/>
                <w:szCs w:val="24"/>
              </w:rPr>
              <w:t>100 points</w:t>
            </w:r>
          </w:p>
        </w:tc>
      </w:tr>
    </w:tbl>
    <w:p w14:paraId="66397F3F" w14:textId="77777777" w:rsidR="00373D6E" w:rsidRPr="00B47FA8" w:rsidRDefault="00373D6E" w:rsidP="00373D6E">
      <w:pPr>
        <w:jc w:val="both"/>
        <w:rPr>
          <w:b/>
          <w:bCs/>
          <w:sz w:val="24"/>
          <w:szCs w:val="24"/>
        </w:rPr>
      </w:pPr>
    </w:p>
    <w:p w14:paraId="101C5B08" w14:textId="77777777" w:rsidR="00373D6E" w:rsidRDefault="00373D6E" w:rsidP="00F307EA">
      <w:pPr>
        <w:pStyle w:val="Heading1"/>
        <w:tabs>
          <w:tab w:val="left" w:pos="823"/>
        </w:tabs>
        <w:ind w:left="0" w:firstLine="0"/>
        <w:jc w:val="both"/>
        <w:rPr>
          <w:b w:val="0"/>
        </w:rPr>
      </w:pPr>
    </w:p>
    <w:p w14:paraId="3BEE723C" w14:textId="45A135B9" w:rsidR="00373D6E" w:rsidRDefault="00373D6E" w:rsidP="00F307EA">
      <w:pPr>
        <w:pStyle w:val="Heading1"/>
        <w:tabs>
          <w:tab w:val="left" w:pos="823"/>
        </w:tabs>
        <w:ind w:left="0" w:firstLine="0"/>
        <w:jc w:val="both"/>
        <w:rPr>
          <w:b w:val="0"/>
        </w:rPr>
      </w:pPr>
    </w:p>
    <w:p w14:paraId="5496D073" w14:textId="77777777" w:rsidR="00373D6E" w:rsidRPr="00373D6E" w:rsidRDefault="00373D6E" w:rsidP="00F307EA">
      <w:pPr>
        <w:pStyle w:val="Heading1"/>
        <w:tabs>
          <w:tab w:val="left" w:pos="823"/>
        </w:tabs>
        <w:ind w:left="0" w:firstLine="0"/>
        <w:jc w:val="both"/>
        <w:rPr>
          <w:b w:val="0"/>
        </w:rPr>
      </w:pPr>
    </w:p>
    <w:sectPr w:rsidR="00373D6E" w:rsidRPr="00373D6E" w:rsidSect="005849A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F38E" w14:textId="77777777" w:rsidR="00D724BB" w:rsidRDefault="00D724BB">
      <w:r>
        <w:separator/>
      </w:r>
    </w:p>
  </w:endnote>
  <w:endnote w:type="continuationSeparator" w:id="0">
    <w:p w14:paraId="73CBAEF4" w14:textId="77777777" w:rsidR="00D724BB" w:rsidRDefault="00D7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3304" w14:textId="77777777" w:rsidR="00215922" w:rsidRDefault="00D724BB">
    <w:pPr>
      <w:pStyle w:val="Footer"/>
    </w:pPr>
  </w:p>
  <w:p w14:paraId="23770DED" w14:textId="77777777" w:rsidR="00215922" w:rsidRDefault="00D724BB">
    <w:pPr>
      <w:pStyle w:val="Footer"/>
    </w:pPr>
  </w:p>
  <w:p w14:paraId="295DFF09" w14:textId="77777777" w:rsidR="00215922" w:rsidRDefault="00D7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7567" w14:textId="77777777" w:rsidR="00D724BB" w:rsidRDefault="00D724BB">
      <w:r>
        <w:separator/>
      </w:r>
    </w:p>
  </w:footnote>
  <w:footnote w:type="continuationSeparator" w:id="0">
    <w:p w14:paraId="14BE34AD" w14:textId="77777777" w:rsidR="00D724BB" w:rsidRDefault="00D7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60D"/>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 w15:restartNumberingAfterBreak="0">
    <w:nsid w:val="0FB245F4"/>
    <w:multiLevelType w:val="hybridMultilevel"/>
    <w:tmpl w:val="18C20E1C"/>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15:restartNumberingAfterBreak="0">
    <w:nsid w:val="16B851BD"/>
    <w:multiLevelType w:val="hybridMultilevel"/>
    <w:tmpl w:val="2B48DA3C"/>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27F76265"/>
    <w:multiLevelType w:val="hybridMultilevel"/>
    <w:tmpl w:val="5C92C45A"/>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4" w15:restartNumberingAfterBreak="0">
    <w:nsid w:val="2C201582"/>
    <w:multiLevelType w:val="hybridMultilevel"/>
    <w:tmpl w:val="F5E88304"/>
    <w:lvl w:ilvl="0" w:tplc="BCB2A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934CB"/>
    <w:multiLevelType w:val="hybridMultilevel"/>
    <w:tmpl w:val="EA8484D2"/>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6" w15:restartNumberingAfterBreak="0">
    <w:nsid w:val="3A1D181F"/>
    <w:multiLevelType w:val="hybridMultilevel"/>
    <w:tmpl w:val="9CF62052"/>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7" w15:restartNumberingAfterBreak="0">
    <w:nsid w:val="3A447399"/>
    <w:multiLevelType w:val="hybridMultilevel"/>
    <w:tmpl w:val="AB9AD04A"/>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8" w15:restartNumberingAfterBreak="0">
    <w:nsid w:val="49FE5E12"/>
    <w:multiLevelType w:val="hybridMultilevel"/>
    <w:tmpl w:val="E48EBBC8"/>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9" w15:restartNumberingAfterBreak="0">
    <w:nsid w:val="4E892A58"/>
    <w:multiLevelType w:val="hybridMultilevel"/>
    <w:tmpl w:val="5B86C10A"/>
    <w:lvl w:ilvl="0" w:tplc="BCB2A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2077B"/>
    <w:multiLevelType w:val="hybridMultilevel"/>
    <w:tmpl w:val="640C92D8"/>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1" w15:restartNumberingAfterBreak="0">
    <w:nsid w:val="6EC36F71"/>
    <w:multiLevelType w:val="hybridMultilevel"/>
    <w:tmpl w:val="21C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0"/>
  </w:num>
  <w:num w:numId="5">
    <w:abstractNumId w:val="1"/>
  </w:num>
  <w:num w:numId="6">
    <w:abstractNumId w:val="8"/>
  </w:num>
  <w:num w:numId="7">
    <w:abstractNumId w:val="3"/>
  </w:num>
  <w:num w:numId="8">
    <w:abstractNumId w:val="6"/>
  </w:num>
  <w:num w:numId="9">
    <w:abstractNumId w:val="7"/>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37"/>
    <w:rsid w:val="00055E17"/>
    <w:rsid w:val="00216246"/>
    <w:rsid w:val="00275BC5"/>
    <w:rsid w:val="00297033"/>
    <w:rsid w:val="00373D6E"/>
    <w:rsid w:val="00392B1B"/>
    <w:rsid w:val="0040496D"/>
    <w:rsid w:val="00451B02"/>
    <w:rsid w:val="004958BC"/>
    <w:rsid w:val="004C424E"/>
    <w:rsid w:val="005849AE"/>
    <w:rsid w:val="005A09AF"/>
    <w:rsid w:val="0067366E"/>
    <w:rsid w:val="00696F27"/>
    <w:rsid w:val="00757675"/>
    <w:rsid w:val="007F18DE"/>
    <w:rsid w:val="00836E19"/>
    <w:rsid w:val="00873E7A"/>
    <w:rsid w:val="00911558"/>
    <w:rsid w:val="0096782A"/>
    <w:rsid w:val="00A17964"/>
    <w:rsid w:val="00AB19E2"/>
    <w:rsid w:val="00AE1D46"/>
    <w:rsid w:val="00B22B20"/>
    <w:rsid w:val="00B453AF"/>
    <w:rsid w:val="00C51818"/>
    <w:rsid w:val="00CC302E"/>
    <w:rsid w:val="00D1708C"/>
    <w:rsid w:val="00D41D32"/>
    <w:rsid w:val="00D724BB"/>
    <w:rsid w:val="00DD6DE0"/>
    <w:rsid w:val="00E647BE"/>
    <w:rsid w:val="00E65949"/>
    <w:rsid w:val="00F307EA"/>
    <w:rsid w:val="00F6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41F2"/>
  <w15:chartTrackingRefBased/>
  <w15:docId w15:val="{F445D902-932C-B44C-993F-1850B9A7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73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F60737"/>
    <w:pPr>
      <w:ind w:left="823" w:hanging="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737"/>
    <w:rPr>
      <w:rFonts w:ascii="Times New Roman" w:eastAsia="Times New Roman" w:hAnsi="Times New Roman" w:cs="Times New Roman"/>
      <w:b/>
      <w:bCs/>
    </w:rPr>
  </w:style>
  <w:style w:type="paragraph" w:styleId="BodyText">
    <w:name w:val="Body Text"/>
    <w:basedOn w:val="Normal"/>
    <w:link w:val="BodyTextChar"/>
    <w:uiPriority w:val="1"/>
    <w:qFormat/>
    <w:rsid w:val="00F60737"/>
    <w:pPr>
      <w:ind w:left="470"/>
      <w:jc w:val="both"/>
    </w:pPr>
    <w:rPr>
      <w:sz w:val="24"/>
      <w:szCs w:val="24"/>
    </w:rPr>
  </w:style>
  <w:style w:type="character" w:customStyle="1" w:styleId="BodyTextChar">
    <w:name w:val="Body Text Char"/>
    <w:basedOn w:val="DefaultParagraphFont"/>
    <w:link w:val="BodyText"/>
    <w:uiPriority w:val="1"/>
    <w:rsid w:val="00F60737"/>
    <w:rPr>
      <w:rFonts w:ascii="Times New Roman" w:eastAsia="Times New Roman" w:hAnsi="Times New Roman" w:cs="Times New Roman"/>
    </w:rPr>
  </w:style>
  <w:style w:type="paragraph" w:styleId="Footer">
    <w:name w:val="footer"/>
    <w:basedOn w:val="Normal"/>
    <w:link w:val="FooterChar"/>
    <w:uiPriority w:val="99"/>
    <w:unhideWhenUsed/>
    <w:rsid w:val="00F60737"/>
    <w:pPr>
      <w:tabs>
        <w:tab w:val="center" w:pos="4513"/>
        <w:tab w:val="right" w:pos="9026"/>
      </w:tabs>
    </w:pPr>
  </w:style>
  <w:style w:type="character" w:customStyle="1" w:styleId="FooterChar">
    <w:name w:val="Footer Char"/>
    <w:basedOn w:val="DefaultParagraphFont"/>
    <w:link w:val="Footer"/>
    <w:uiPriority w:val="99"/>
    <w:rsid w:val="00F60737"/>
    <w:rPr>
      <w:rFonts w:ascii="Times New Roman" w:eastAsia="Times New Roman" w:hAnsi="Times New Roman" w:cs="Times New Roman"/>
      <w:sz w:val="22"/>
      <w:szCs w:val="22"/>
    </w:rPr>
  </w:style>
  <w:style w:type="paragraph" w:styleId="ListParagraph">
    <w:name w:val="List Paragraph"/>
    <w:basedOn w:val="Normal"/>
    <w:uiPriority w:val="1"/>
    <w:qFormat/>
    <w:rsid w:val="00757675"/>
    <w:pPr>
      <w:ind w:left="470" w:hanging="369"/>
      <w:jc w:val="both"/>
    </w:pPr>
  </w:style>
  <w:style w:type="table" w:styleId="TableGrid">
    <w:name w:val="Table Grid"/>
    <w:basedOn w:val="TableNormal"/>
    <w:uiPriority w:val="39"/>
    <w:rsid w:val="00757675"/>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DE0"/>
    <w:rPr>
      <w:sz w:val="16"/>
      <w:szCs w:val="16"/>
    </w:rPr>
  </w:style>
  <w:style w:type="paragraph" w:styleId="CommentText">
    <w:name w:val="annotation text"/>
    <w:basedOn w:val="Normal"/>
    <w:link w:val="CommentTextChar"/>
    <w:uiPriority w:val="99"/>
    <w:unhideWhenUsed/>
    <w:rsid w:val="00DD6DE0"/>
    <w:rPr>
      <w:sz w:val="20"/>
      <w:szCs w:val="20"/>
    </w:rPr>
  </w:style>
  <w:style w:type="character" w:customStyle="1" w:styleId="CommentTextChar">
    <w:name w:val="Comment Text Char"/>
    <w:basedOn w:val="DefaultParagraphFont"/>
    <w:link w:val="CommentText"/>
    <w:uiPriority w:val="99"/>
    <w:rsid w:val="00DD6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DE0"/>
    <w:rPr>
      <w:b/>
      <w:bCs/>
    </w:rPr>
  </w:style>
  <w:style w:type="character" w:customStyle="1" w:styleId="CommentSubjectChar">
    <w:name w:val="Comment Subject Char"/>
    <w:basedOn w:val="CommentTextChar"/>
    <w:link w:val="CommentSubject"/>
    <w:uiPriority w:val="99"/>
    <w:semiHidden/>
    <w:rsid w:val="00DD6D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6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D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2827">
      <w:bodyDiv w:val="1"/>
      <w:marLeft w:val="0"/>
      <w:marRight w:val="0"/>
      <w:marTop w:val="0"/>
      <w:marBottom w:val="0"/>
      <w:divBdr>
        <w:top w:val="none" w:sz="0" w:space="0" w:color="auto"/>
        <w:left w:val="none" w:sz="0" w:space="0" w:color="auto"/>
        <w:bottom w:val="none" w:sz="0" w:space="0" w:color="auto"/>
        <w:right w:val="none" w:sz="0" w:space="0" w:color="auto"/>
      </w:divBdr>
    </w:div>
    <w:div w:id="296376276">
      <w:bodyDiv w:val="1"/>
      <w:marLeft w:val="0"/>
      <w:marRight w:val="0"/>
      <w:marTop w:val="0"/>
      <w:marBottom w:val="0"/>
      <w:divBdr>
        <w:top w:val="none" w:sz="0" w:space="0" w:color="auto"/>
        <w:left w:val="none" w:sz="0" w:space="0" w:color="auto"/>
        <w:bottom w:val="none" w:sz="0" w:space="0" w:color="auto"/>
        <w:right w:val="none" w:sz="0" w:space="0" w:color="auto"/>
      </w:divBdr>
    </w:div>
    <w:div w:id="9297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2023-08-30T12:26:00Z</dcterms:created>
  <dcterms:modified xsi:type="dcterms:W3CDTF">2023-09-08T10:30:00Z</dcterms:modified>
</cp:coreProperties>
</file>